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54C3F" w14:textId="25B1B622" w:rsidR="00454BF6" w:rsidRDefault="00454BF6" w:rsidP="006B2631">
      <w:pPr>
        <w:pStyle w:val="Notes"/>
        <w:tabs>
          <w:tab w:val="left" w:pos="720"/>
        </w:tabs>
      </w:pPr>
      <w:r>
        <w:t>SPEC NOTE: This section is meant for the Consultants’ use during design</w:t>
      </w:r>
      <w:r w:rsidR="00B85FF1">
        <w:t xml:space="preserve"> unless portions of the work are to be designed by specialty subcontractors and suppliers. It may not be needed for all projects</w:t>
      </w:r>
      <w:r w:rsidR="00672509">
        <w:t xml:space="preserve"> and as such portions of this guide may be adapted to be incorporated into individual technical sections. </w:t>
      </w:r>
    </w:p>
    <w:p w14:paraId="3B8AEAD9" w14:textId="77777777" w:rsidR="00454BF6" w:rsidRDefault="00454BF6" w:rsidP="006B2631">
      <w:pPr>
        <w:pStyle w:val="Notes"/>
        <w:tabs>
          <w:tab w:val="left" w:pos="720"/>
        </w:tabs>
      </w:pPr>
    </w:p>
    <w:p w14:paraId="0B225B52" w14:textId="77777777" w:rsidR="00A12B8D" w:rsidRPr="00DF47B8" w:rsidRDefault="00A12B8D" w:rsidP="006B2631">
      <w:pPr>
        <w:pStyle w:val="Heading1"/>
        <w:tabs>
          <w:tab w:val="left" w:pos="720"/>
          <w:tab w:val="num" w:pos="1440"/>
        </w:tabs>
        <w:ind w:left="1440" w:hanging="1440"/>
      </w:pPr>
      <w:r w:rsidRPr="00DF47B8">
        <w:t>GENERAL</w:t>
      </w:r>
    </w:p>
    <w:p w14:paraId="5B86C4B0" w14:textId="77777777" w:rsidR="00A12B8D" w:rsidRPr="00EB11A6" w:rsidRDefault="00A12B8D" w:rsidP="00DF47B8">
      <w:pPr>
        <w:pStyle w:val="Heading2"/>
      </w:pPr>
      <w:r w:rsidRPr="00EB11A6">
        <w:t xml:space="preserve">Related </w:t>
      </w:r>
      <w:r w:rsidR="00735613">
        <w:t>Sections</w:t>
      </w:r>
    </w:p>
    <w:p w14:paraId="535BF5DF" w14:textId="77777777" w:rsidR="00B85FF1" w:rsidRPr="007850E1" w:rsidRDefault="00B85FF1" w:rsidP="00DF47B8">
      <w:pPr>
        <w:pStyle w:val="Heading3"/>
      </w:pPr>
      <w:r w:rsidRPr="007850E1">
        <w:t>Section 10 00 10 Special Room Requirements (Custodial)</w:t>
      </w:r>
    </w:p>
    <w:p w14:paraId="642A6888" w14:textId="2B8B719A" w:rsidR="004964F7" w:rsidRPr="007850E1" w:rsidRDefault="005A01E9" w:rsidP="00DF47B8">
      <w:pPr>
        <w:pStyle w:val="Heading3"/>
      </w:pPr>
      <w:r w:rsidRPr="007850E1">
        <w:t>Section</w:t>
      </w:r>
      <w:r w:rsidR="00471A9F" w:rsidRPr="007850E1">
        <w:t xml:space="preserve"> </w:t>
      </w:r>
      <w:r w:rsidR="00812830" w:rsidRPr="007850E1">
        <w:t>12 00 00</w:t>
      </w:r>
      <w:r w:rsidR="004964F7" w:rsidRPr="007850E1">
        <w:t xml:space="preserve"> </w:t>
      </w:r>
      <w:r w:rsidR="00672509" w:rsidRPr="007850E1">
        <w:t>Furnishings (</w:t>
      </w:r>
      <w:r w:rsidR="004964F7" w:rsidRPr="007850E1">
        <w:t>Computer Workstations)</w:t>
      </w:r>
    </w:p>
    <w:p w14:paraId="49F903D8" w14:textId="77777777" w:rsidR="004964F7" w:rsidRPr="007850E1" w:rsidRDefault="005A01E9" w:rsidP="00DF47B8">
      <w:pPr>
        <w:pStyle w:val="Heading3"/>
      </w:pPr>
      <w:r w:rsidRPr="007850E1">
        <w:t>Section</w:t>
      </w:r>
      <w:r w:rsidR="00471A9F" w:rsidRPr="007850E1">
        <w:t xml:space="preserve"> 12 35 53</w:t>
      </w:r>
      <w:r w:rsidR="004964F7" w:rsidRPr="007850E1">
        <w:t xml:space="preserve"> Laboratory Casework (Wet Laboratories)</w:t>
      </w:r>
    </w:p>
    <w:p w14:paraId="71155885" w14:textId="77777777" w:rsidR="004964F7" w:rsidRPr="007850E1" w:rsidRDefault="005A01E9" w:rsidP="00DF47B8">
      <w:pPr>
        <w:pStyle w:val="Heading3"/>
      </w:pPr>
      <w:r w:rsidRPr="007850E1">
        <w:t>Section</w:t>
      </w:r>
      <w:r w:rsidR="004964F7" w:rsidRPr="007850E1">
        <w:t xml:space="preserve"> </w:t>
      </w:r>
      <w:r w:rsidR="00471A9F" w:rsidRPr="007850E1">
        <w:t>11 82 00 Waste Handling Equipment</w:t>
      </w:r>
      <w:r w:rsidR="004964F7" w:rsidRPr="007850E1">
        <w:t xml:space="preserve"> (Waste Management)</w:t>
      </w:r>
    </w:p>
    <w:p w14:paraId="5957E8F4" w14:textId="77777777" w:rsidR="00DE163C" w:rsidRPr="005A01E9" w:rsidRDefault="00045F86" w:rsidP="00DF47B8">
      <w:pPr>
        <w:pStyle w:val="Heading2"/>
        <w:rPr>
          <w:bCs/>
        </w:rPr>
      </w:pPr>
      <w:r w:rsidRPr="005A01E9">
        <w:t>Coordination</w:t>
      </w:r>
      <w:r w:rsidR="00730BB1" w:rsidRPr="005A01E9">
        <w:t xml:space="preserve"> Requirements</w:t>
      </w:r>
    </w:p>
    <w:p w14:paraId="7774DAD5" w14:textId="02EFEE00" w:rsidR="00045F86" w:rsidRPr="005A01E9" w:rsidRDefault="00F677BD" w:rsidP="00DF47B8">
      <w:pPr>
        <w:pStyle w:val="Heading3"/>
      </w:pPr>
      <w:r w:rsidRPr="00E10D5B">
        <w:rPr>
          <w:rFonts w:ascii="Arial" w:hAnsi="Arial" w:cs="Arial"/>
        </w:rPr>
        <w:t>UBC Okanagan Risk Management Services (</w:t>
      </w:r>
      <w:hyperlink r:id="rId7" w:history="1">
        <w:r w:rsidRPr="00612024">
          <w:rPr>
            <w:rStyle w:val="Hyperlink"/>
            <w:rFonts w:ascii="Arial" w:hAnsi="Arial" w:cs="Arial"/>
          </w:rPr>
          <w:t>riskmanagement.ok@ubc.ca</w:t>
        </w:r>
      </w:hyperlink>
      <w:r w:rsidRPr="00E10D5B">
        <w:rPr>
          <w:rFonts w:ascii="Arial" w:hAnsi="Arial" w:cs="Arial"/>
        </w:rPr>
        <w:t>, 250-807-8859)</w:t>
      </w:r>
      <w:r w:rsidR="004964F7" w:rsidRPr="005A01E9">
        <w:t xml:space="preserve"> </w:t>
      </w:r>
    </w:p>
    <w:p w14:paraId="5A8D5644" w14:textId="77777777" w:rsidR="006E4BDC" w:rsidRDefault="006E4BDC" w:rsidP="00672509">
      <w:pPr>
        <w:pStyle w:val="Heading1"/>
      </w:pPr>
      <w:r w:rsidRPr="006E4BDC">
        <w:t>DESIGN REQUIREMENTS</w:t>
      </w:r>
    </w:p>
    <w:p w14:paraId="79E5C8FE" w14:textId="0DEAC86A" w:rsidR="003A4476" w:rsidRDefault="004964F7" w:rsidP="00672509">
      <w:pPr>
        <w:pStyle w:val="Heading2"/>
      </w:pPr>
      <w:r>
        <w:t>Computer Workstations</w:t>
      </w:r>
    </w:p>
    <w:p w14:paraId="03175165" w14:textId="77777777" w:rsidR="00672509" w:rsidRPr="00672509" w:rsidRDefault="00672509" w:rsidP="00672509"/>
    <w:p w14:paraId="215D863E" w14:textId="77777777" w:rsidR="004964F7" w:rsidRPr="003F365D" w:rsidRDefault="004964F7" w:rsidP="00672509">
      <w:pPr>
        <w:pStyle w:val="Heading1"/>
        <w:numPr>
          <w:ilvl w:val="0"/>
          <w:numId w:val="0"/>
        </w:numPr>
        <w:spacing w:before="0" w:after="120"/>
        <w:ind w:left="1287"/>
        <w:rPr>
          <w:rFonts w:cs="Arial"/>
          <w:b w:val="0"/>
          <w:i/>
        </w:rPr>
      </w:pPr>
      <w:r w:rsidRPr="003F365D">
        <w:rPr>
          <w:rFonts w:cs="Arial"/>
          <w:i/>
        </w:rPr>
        <w:t>UBC Ergonomics Checklist for Computer Workstation for Designers</w:t>
      </w:r>
    </w:p>
    <w:tbl>
      <w:tblPr>
        <w:tblStyle w:val="TableGrid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260"/>
        <w:gridCol w:w="8730"/>
        <w:gridCol w:w="450"/>
      </w:tblGrid>
      <w:tr w:rsidR="00735613" w14:paraId="2634B832" w14:textId="77777777" w:rsidTr="008F1083">
        <w:trPr>
          <w:tblHeader/>
        </w:trPr>
        <w:tc>
          <w:tcPr>
            <w:tcW w:w="1260" w:type="dxa"/>
            <w:shd w:val="clear" w:color="auto" w:fill="D9D9D9" w:themeFill="background1" w:themeFillShade="D9"/>
          </w:tcPr>
          <w:p w14:paraId="1BF3CFAB" w14:textId="77777777" w:rsidR="00735613" w:rsidRPr="00480F9D" w:rsidRDefault="00735613" w:rsidP="008F1083">
            <w:pPr>
              <w:spacing w:after="60"/>
              <w:rPr>
                <w:rFonts w:cs="Arial"/>
                <w:b/>
              </w:rPr>
            </w:pPr>
            <w:r w:rsidRPr="00480F9D">
              <w:rPr>
                <w:rFonts w:cs="Arial"/>
                <w:b/>
              </w:rPr>
              <w:t>Category</w:t>
            </w:r>
          </w:p>
        </w:tc>
        <w:tc>
          <w:tcPr>
            <w:tcW w:w="8730" w:type="dxa"/>
            <w:shd w:val="clear" w:color="auto" w:fill="D9D9D9" w:themeFill="background1" w:themeFillShade="D9"/>
          </w:tcPr>
          <w:p w14:paraId="7372901C" w14:textId="77777777" w:rsidR="00735613" w:rsidRPr="00480F9D" w:rsidRDefault="00735613" w:rsidP="008F1083">
            <w:pPr>
              <w:spacing w:after="60"/>
              <w:rPr>
                <w:rFonts w:cs="Arial"/>
                <w:b/>
              </w:rPr>
            </w:pPr>
            <w:r w:rsidRPr="00480F9D">
              <w:rPr>
                <w:rFonts w:cs="Arial"/>
                <w:b/>
              </w:rPr>
              <w:t>Guideline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D0F7CD5" w14:textId="77777777" w:rsidR="00735613" w:rsidRPr="00480F9D" w:rsidRDefault="00735613" w:rsidP="008F1083">
            <w:pPr>
              <w:spacing w:after="60"/>
              <w:jc w:val="center"/>
              <w:rPr>
                <w:rFonts w:cs="Arial"/>
                <w:b/>
              </w:rPr>
            </w:pPr>
            <w:r w:rsidRPr="00480F9D">
              <w:rPr>
                <w:rFonts w:cs="Arial"/>
                <w:b/>
              </w:rPr>
              <w:sym w:font="Wingdings" w:char="F0FC"/>
            </w:r>
          </w:p>
        </w:tc>
      </w:tr>
      <w:tr w:rsidR="00735613" w:rsidRPr="008E2B59" w14:paraId="6EC7A82B" w14:textId="77777777" w:rsidTr="008F1083">
        <w:tc>
          <w:tcPr>
            <w:tcW w:w="1260" w:type="dxa"/>
          </w:tcPr>
          <w:p w14:paraId="4F8B0E36" w14:textId="77777777" w:rsidR="00735613" w:rsidRPr="00480F9D" w:rsidRDefault="00735613" w:rsidP="008F1083">
            <w:pPr>
              <w:spacing w:line="264" w:lineRule="auto"/>
              <w:rPr>
                <w:rFonts w:cs="Arial"/>
              </w:rPr>
            </w:pPr>
            <w:r w:rsidRPr="00480F9D">
              <w:rPr>
                <w:rFonts w:cs="Arial"/>
              </w:rPr>
              <w:t>Support</w:t>
            </w:r>
          </w:p>
        </w:tc>
        <w:tc>
          <w:tcPr>
            <w:tcW w:w="8730" w:type="dxa"/>
          </w:tcPr>
          <w:p w14:paraId="24AD025D" w14:textId="566A27F6" w:rsidR="00735613" w:rsidRPr="001339A8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339A8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F677BD" w:rsidRPr="00E10D5B">
              <w:rPr>
                <w:rFonts w:ascii="Arial" w:hAnsi="Arial" w:cs="Arial"/>
                <w:sz w:val="20"/>
                <w:szCs w:val="20"/>
              </w:rPr>
              <w:t>UBC Okanagan Risk Management Services (</w:t>
            </w:r>
            <w:hyperlink r:id="rId8" w:history="1">
              <w:r w:rsidR="00F677BD" w:rsidRPr="00612024">
                <w:rPr>
                  <w:rStyle w:val="Hyperlink"/>
                  <w:rFonts w:ascii="Arial" w:hAnsi="Arial" w:cs="Arial"/>
                  <w:sz w:val="20"/>
                  <w:szCs w:val="20"/>
                </w:rPr>
                <w:t>riskmanagement.ok@ubc.ca</w:t>
              </w:r>
            </w:hyperlink>
            <w:r w:rsidR="00F677BD" w:rsidRPr="00E10D5B">
              <w:rPr>
                <w:rFonts w:ascii="Arial" w:hAnsi="Arial" w:cs="Arial"/>
                <w:sz w:val="20"/>
                <w:szCs w:val="20"/>
              </w:rPr>
              <w:t>, 250-807-8859)</w:t>
            </w:r>
          </w:p>
        </w:tc>
        <w:tc>
          <w:tcPr>
            <w:tcW w:w="450" w:type="dxa"/>
          </w:tcPr>
          <w:p w14:paraId="1C406DF9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370B6046" w14:textId="77777777" w:rsidTr="008F1083">
        <w:tc>
          <w:tcPr>
            <w:tcW w:w="1260" w:type="dxa"/>
          </w:tcPr>
          <w:p w14:paraId="7C8B7B18" w14:textId="77777777" w:rsidR="00735613" w:rsidRPr="00480F9D" w:rsidRDefault="00735613" w:rsidP="008F1083">
            <w:pPr>
              <w:spacing w:line="264" w:lineRule="auto"/>
              <w:rPr>
                <w:rFonts w:cs="Arial"/>
              </w:rPr>
            </w:pPr>
            <w:r w:rsidRPr="00480F9D">
              <w:rPr>
                <w:rFonts w:cs="Arial"/>
              </w:rPr>
              <w:t>Desk Depth</w:t>
            </w:r>
          </w:p>
        </w:tc>
        <w:tc>
          <w:tcPr>
            <w:tcW w:w="8730" w:type="dxa"/>
          </w:tcPr>
          <w:p w14:paraId="0DFE4321" w14:textId="77777777" w:rsidR="00735613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1339A8">
              <w:rPr>
                <w:rFonts w:ascii="Arial" w:hAnsi="Arial" w:cs="Arial"/>
                <w:sz w:val="20"/>
                <w:szCs w:val="20"/>
              </w:rPr>
              <w:t>Depth of computer work surface is ≥30”</w:t>
            </w:r>
            <w:r w:rsidR="005C081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339A8">
              <w:rPr>
                <w:rFonts w:ascii="Arial" w:hAnsi="Arial" w:cs="Arial"/>
                <w:sz w:val="20"/>
                <w:szCs w:val="20"/>
              </w:rPr>
              <w:t>≥24” is acceptable if keyboard tray available</w:t>
            </w:r>
          </w:p>
          <w:p w14:paraId="6E6202C1" w14:textId="77777777" w:rsidR="005C0810" w:rsidRPr="002E793C" w:rsidRDefault="005C0810" w:rsidP="00A57C02">
            <w:pPr>
              <w:spacing w:after="60" w:line="264" w:lineRule="auto"/>
              <w:ind w:left="342"/>
              <w:rPr>
                <w:rFonts w:cs="Arial"/>
              </w:rPr>
            </w:pPr>
            <w:r w:rsidRPr="002E793C">
              <w:rPr>
                <w:rFonts w:cs="Arial"/>
              </w:rPr>
              <w:t>Note: depth refers to usable space; transaction counter overhang does not count towards the desk depth</w:t>
            </w:r>
          </w:p>
        </w:tc>
        <w:tc>
          <w:tcPr>
            <w:tcW w:w="450" w:type="dxa"/>
          </w:tcPr>
          <w:p w14:paraId="4110A80A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29B2DABE" w14:textId="77777777" w:rsidTr="008F1083">
        <w:tc>
          <w:tcPr>
            <w:tcW w:w="1260" w:type="dxa"/>
          </w:tcPr>
          <w:p w14:paraId="4A7932B3" w14:textId="77777777" w:rsidR="00735613" w:rsidRPr="00281791" w:rsidRDefault="00735613" w:rsidP="008F1083">
            <w:pPr>
              <w:spacing w:line="264" w:lineRule="auto"/>
              <w:rPr>
                <w:rFonts w:cs="Arial"/>
                <w:color w:val="0070C0"/>
              </w:rPr>
            </w:pPr>
            <w:r w:rsidRPr="00281791">
              <w:rPr>
                <w:rFonts w:cs="Arial"/>
              </w:rPr>
              <w:t>Height Adjustable Desks</w:t>
            </w:r>
          </w:p>
        </w:tc>
        <w:tc>
          <w:tcPr>
            <w:tcW w:w="8730" w:type="dxa"/>
          </w:tcPr>
          <w:p w14:paraId="269ACBA1" w14:textId="77777777" w:rsidR="004B6B09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Height Range: 22.6” to 48.7”</w:t>
            </w:r>
          </w:p>
          <w:p w14:paraId="1B82A7B9" w14:textId="77777777" w:rsidR="004B6B09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 xml:space="preserve">Height adjustable desks are preferred; if it is not possible to purchase individually, consider providing at least one as a shared resource </w:t>
            </w:r>
          </w:p>
          <w:p w14:paraId="7E691B93" w14:textId="22B23B51" w:rsidR="00735613" w:rsidRPr="001339A8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444AD">
              <w:rPr>
                <w:rFonts w:ascii="Arial" w:hAnsi="Arial" w:cs="Arial"/>
                <w:sz w:val="20"/>
                <w:szCs w:val="20"/>
              </w:rPr>
              <w:t>See</w:t>
            </w:r>
            <w:r w:rsidRPr="004444A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hyperlink r:id="rId9" w:history="1">
              <w:r w:rsidRPr="004444AD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Height Adjustable Desks</w:t>
              </w:r>
              <w:r w:rsidR="0057020A" w:rsidRPr="004444AD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 xml:space="preserve"> Purchasing</w:t>
              </w:r>
            </w:hyperlink>
            <w:r w:rsidRPr="004444A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4444AD">
              <w:rPr>
                <w:rFonts w:ascii="Arial" w:hAnsi="Arial" w:cs="Arial"/>
                <w:sz w:val="20"/>
                <w:szCs w:val="20"/>
              </w:rPr>
              <w:t>for</w:t>
            </w:r>
            <w:r w:rsidRPr="00281791">
              <w:rPr>
                <w:rFonts w:ascii="Arial" w:hAnsi="Arial" w:cs="Arial"/>
                <w:sz w:val="20"/>
                <w:szCs w:val="20"/>
              </w:rPr>
              <w:t xml:space="preserve"> more information</w:t>
            </w:r>
          </w:p>
        </w:tc>
        <w:tc>
          <w:tcPr>
            <w:tcW w:w="450" w:type="dxa"/>
          </w:tcPr>
          <w:p w14:paraId="2153DF86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5559C593" w14:textId="77777777" w:rsidTr="008F1083">
        <w:tc>
          <w:tcPr>
            <w:tcW w:w="1260" w:type="dxa"/>
          </w:tcPr>
          <w:p w14:paraId="4D7E744E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Fixed Height Desks</w:t>
            </w:r>
          </w:p>
        </w:tc>
        <w:tc>
          <w:tcPr>
            <w:tcW w:w="8730" w:type="dxa"/>
          </w:tcPr>
          <w:p w14:paraId="0740A08B" w14:textId="77777777" w:rsidR="004B6B09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Height: 28.5”</w:t>
            </w:r>
          </w:p>
          <w:p w14:paraId="555B9D8E" w14:textId="77777777" w:rsidR="00735613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If possible, allow flexibility (e.g. panel hung) so that the desk height can be adjusted between 26 and 32” and/or provide option for keyboard tray and ensure installation is possible</w:t>
            </w:r>
          </w:p>
        </w:tc>
        <w:tc>
          <w:tcPr>
            <w:tcW w:w="450" w:type="dxa"/>
          </w:tcPr>
          <w:p w14:paraId="36B83F1B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1339A8" w:rsidRPr="001339A8" w14:paraId="56596A2B" w14:textId="77777777" w:rsidTr="008F1083">
        <w:tc>
          <w:tcPr>
            <w:tcW w:w="1260" w:type="dxa"/>
          </w:tcPr>
          <w:p w14:paraId="6FFD7F47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Pedestal</w:t>
            </w:r>
          </w:p>
        </w:tc>
        <w:tc>
          <w:tcPr>
            <w:tcW w:w="8730" w:type="dxa"/>
          </w:tcPr>
          <w:p w14:paraId="6B08AFB1" w14:textId="77777777" w:rsidR="00735613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Consider mobile pedestal with 1-box/1-file; this will allow desks to be positioned lower than the standard 30”, and will allow users to change between right and left-handed configurations</w:t>
            </w:r>
          </w:p>
        </w:tc>
        <w:tc>
          <w:tcPr>
            <w:tcW w:w="450" w:type="dxa"/>
          </w:tcPr>
          <w:p w14:paraId="4748FE87" w14:textId="77777777" w:rsidR="00735613" w:rsidRPr="001339A8" w:rsidRDefault="00735613" w:rsidP="008F1083">
            <w:pPr>
              <w:rPr>
                <w:rFonts w:cs="Arial"/>
                <w:i/>
                <w:color w:val="0070C0"/>
              </w:rPr>
            </w:pPr>
          </w:p>
        </w:tc>
      </w:tr>
      <w:tr w:rsidR="001339A8" w:rsidRPr="001339A8" w14:paraId="58440E7B" w14:textId="77777777" w:rsidTr="008F1083">
        <w:tc>
          <w:tcPr>
            <w:tcW w:w="1260" w:type="dxa"/>
          </w:tcPr>
          <w:p w14:paraId="3F4AC764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Desk Width</w:t>
            </w:r>
          </w:p>
        </w:tc>
        <w:tc>
          <w:tcPr>
            <w:tcW w:w="8730" w:type="dxa"/>
          </w:tcPr>
          <w:p w14:paraId="32D02404" w14:textId="49E8F13E" w:rsidR="00735613" w:rsidRPr="00281791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FD2209">
              <w:rPr>
                <w:rFonts w:ascii="Arial" w:hAnsi="Arial" w:cs="Arial"/>
                <w:sz w:val="20"/>
                <w:szCs w:val="20"/>
              </w:rPr>
              <w:t>Preferred: ≥</w:t>
            </w:r>
            <w:r w:rsidR="00A57C02" w:rsidRPr="00FD2209">
              <w:rPr>
                <w:rFonts w:ascii="Arial" w:hAnsi="Arial" w:cs="Arial"/>
                <w:sz w:val="20"/>
                <w:szCs w:val="20"/>
              </w:rPr>
              <w:t>60</w:t>
            </w:r>
            <w:r w:rsidRPr="00FD220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1567B">
              <w:rPr>
                <w:rFonts w:ascii="Arial" w:hAnsi="Arial" w:cs="Arial"/>
                <w:sz w:val="20"/>
                <w:szCs w:val="20"/>
              </w:rPr>
              <w:t>minimum: ≥3</w:t>
            </w:r>
            <w:r w:rsidR="00A57C02" w:rsidRPr="00F1567B">
              <w:rPr>
                <w:rFonts w:ascii="Arial" w:hAnsi="Arial" w:cs="Arial"/>
                <w:sz w:val="20"/>
                <w:szCs w:val="20"/>
              </w:rPr>
              <w:t>6</w:t>
            </w:r>
            <w:r w:rsidRPr="00F1567B">
              <w:rPr>
                <w:rFonts w:ascii="Arial" w:hAnsi="Arial" w:cs="Arial"/>
                <w:sz w:val="20"/>
                <w:szCs w:val="20"/>
              </w:rPr>
              <w:t>” width</w:t>
            </w:r>
          </w:p>
        </w:tc>
        <w:tc>
          <w:tcPr>
            <w:tcW w:w="450" w:type="dxa"/>
          </w:tcPr>
          <w:p w14:paraId="76027B60" w14:textId="77777777" w:rsidR="00735613" w:rsidRPr="001339A8" w:rsidRDefault="00735613" w:rsidP="008F1083">
            <w:pPr>
              <w:rPr>
                <w:rFonts w:cs="Arial"/>
                <w:i/>
                <w:color w:val="0070C0"/>
              </w:rPr>
            </w:pPr>
          </w:p>
        </w:tc>
      </w:tr>
      <w:tr w:rsidR="001339A8" w:rsidRPr="001339A8" w14:paraId="62B3AD61" w14:textId="77777777" w:rsidTr="008F1083">
        <w:tc>
          <w:tcPr>
            <w:tcW w:w="1260" w:type="dxa"/>
          </w:tcPr>
          <w:p w14:paraId="45EC6138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 xml:space="preserve">Depth under desk </w:t>
            </w:r>
          </w:p>
        </w:tc>
        <w:tc>
          <w:tcPr>
            <w:tcW w:w="8730" w:type="dxa"/>
          </w:tcPr>
          <w:p w14:paraId="185A87B3" w14:textId="77777777" w:rsidR="004B6B09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≥23.5” for leg clearance</w:t>
            </w:r>
          </w:p>
          <w:p w14:paraId="64149626" w14:textId="77777777" w:rsidR="00735613" w:rsidRPr="00281791" w:rsidRDefault="004B6B09" w:rsidP="004B6B09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Ensure that stability bar does not interfere with knee clearance or installation of keyboard tray</w:t>
            </w:r>
          </w:p>
        </w:tc>
        <w:tc>
          <w:tcPr>
            <w:tcW w:w="450" w:type="dxa"/>
          </w:tcPr>
          <w:p w14:paraId="04D10B85" w14:textId="77777777" w:rsidR="00735613" w:rsidRPr="001339A8" w:rsidRDefault="00735613" w:rsidP="008F1083">
            <w:pPr>
              <w:rPr>
                <w:rFonts w:cs="Arial"/>
                <w:i/>
                <w:color w:val="0070C0"/>
              </w:rPr>
            </w:pPr>
          </w:p>
        </w:tc>
      </w:tr>
      <w:tr w:rsidR="001339A8" w:rsidRPr="001339A8" w14:paraId="5517C605" w14:textId="77777777" w:rsidTr="008F1083">
        <w:tc>
          <w:tcPr>
            <w:tcW w:w="1260" w:type="dxa"/>
          </w:tcPr>
          <w:p w14:paraId="220F47B1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Keyboard tray</w:t>
            </w:r>
          </w:p>
        </w:tc>
        <w:tc>
          <w:tcPr>
            <w:tcW w:w="8730" w:type="dxa"/>
          </w:tcPr>
          <w:p w14:paraId="3F3E28E4" w14:textId="77777777" w:rsidR="00735613" w:rsidRPr="00281791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≥26” width (sufficient space for keyboard and mouse)</w:t>
            </w:r>
            <w:bookmarkStart w:id="0" w:name="_GoBack"/>
            <w:bookmarkEnd w:id="0"/>
          </w:p>
          <w:p w14:paraId="0820B9D5" w14:textId="77777777" w:rsidR="004B6B09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lastRenderedPageBreak/>
              <w:t>Mouse level</w:t>
            </w:r>
            <w:r w:rsidRPr="00A57C02">
              <w:rPr>
                <w:rStyle w:val="FootnoteReference"/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A57C0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281791">
              <w:rPr>
                <w:rFonts w:ascii="Arial" w:hAnsi="Arial" w:cs="Arial"/>
                <w:sz w:val="20"/>
                <w:szCs w:val="20"/>
              </w:rPr>
              <w:t>with keyboard; no knob height adjustable; removable palm rest</w:t>
            </w:r>
          </w:p>
          <w:p w14:paraId="5B19976B" w14:textId="36B2BB7E" w:rsidR="00A57C02" w:rsidRPr="00281791" w:rsidRDefault="00A57C02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D2209">
              <w:rPr>
                <w:rFonts w:ascii="Arial" w:hAnsi="Arial" w:cs="Arial"/>
                <w:sz w:val="20"/>
                <w:szCs w:val="20"/>
              </w:rPr>
              <w:t xml:space="preserve">Keyboard trays do not have to be installed at each workstation </w:t>
            </w:r>
            <w:r w:rsidR="0057020A" w:rsidRPr="00FD2209">
              <w:rPr>
                <w:rFonts w:ascii="Arial" w:hAnsi="Arial" w:cs="Arial"/>
                <w:sz w:val="20"/>
                <w:szCs w:val="20"/>
              </w:rPr>
              <w:t>but users must have the option for a keyboard tray if the desk height is not adjustable.</w:t>
            </w:r>
          </w:p>
        </w:tc>
        <w:tc>
          <w:tcPr>
            <w:tcW w:w="450" w:type="dxa"/>
          </w:tcPr>
          <w:p w14:paraId="7FD2CD37" w14:textId="77777777" w:rsidR="00735613" w:rsidRPr="001339A8" w:rsidRDefault="00735613" w:rsidP="008F1083">
            <w:pPr>
              <w:rPr>
                <w:rFonts w:cs="Arial"/>
                <w:i/>
                <w:color w:val="0070C0"/>
              </w:rPr>
            </w:pPr>
          </w:p>
        </w:tc>
      </w:tr>
      <w:tr w:rsidR="00735613" w14:paraId="0581A65D" w14:textId="77777777" w:rsidTr="008F1083">
        <w:trPr>
          <w:trHeight w:val="278"/>
        </w:trPr>
        <w:tc>
          <w:tcPr>
            <w:tcW w:w="1260" w:type="dxa"/>
          </w:tcPr>
          <w:p w14:paraId="0C147E38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 xml:space="preserve">Monitor </w:t>
            </w:r>
          </w:p>
        </w:tc>
        <w:tc>
          <w:tcPr>
            <w:tcW w:w="8730" w:type="dxa"/>
          </w:tcPr>
          <w:p w14:paraId="093ADA00" w14:textId="77777777" w:rsidR="00735613" w:rsidRPr="00281791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Height and tilt adjustable</w:t>
            </w:r>
          </w:p>
          <w:p w14:paraId="31C9F98F" w14:textId="77777777" w:rsidR="00735613" w:rsidRPr="00281791" w:rsidRDefault="00735613" w:rsidP="00A57C02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Monitor arms that allow monitors to be positioned low will be needed for those with bifocals, touchscreen technology and/or monitors that sit high on the desk (e.g. Mac monitors)</w:t>
            </w:r>
          </w:p>
        </w:tc>
        <w:tc>
          <w:tcPr>
            <w:tcW w:w="450" w:type="dxa"/>
          </w:tcPr>
          <w:p w14:paraId="2C77A856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18B9ADE2" w14:textId="77777777" w:rsidTr="008F1083">
        <w:trPr>
          <w:trHeight w:val="278"/>
        </w:trPr>
        <w:tc>
          <w:tcPr>
            <w:tcW w:w="1260" w:type="dxa"/>
          </w:tcPr>
          <w:p w14:paraId="59D7FD53" w14:textId="77777777" w:rsidR="00735613" w:rsidRPr="00480F9D" w:rsidRDefault="00735613" w:rsidP="008F1083">
            <w:pPr>
              <w:spacing w:line="264" w:lineRule="auto"/>
              <w:rPr>
                <w:rFonts w:cs="Arial"/>
              </w:rPr>
            </w:pPr>
            <w:r w:rsidRPr="00480F9D">
              <w:rPr>
                <w:rFonts w:cs="Arial"/>
              </w:rPr>
              <w:t>Monitor-glare</w:t>
            </w:r>
          </w:p>
        </w:tc>
        <w:tc>
          <w:tcPr>
            <w:tcW w:w="8730" w:type="dxa"/>
          </w:tcPr>
          <w:p w14:paraId="4E1E3431" w14:textId="77777777" w:rsidR="00735613" w:rsidRPr="001339A8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339A8">
              <w:rPr>
                <w:rFonts w:ascii="Arial" w:hAnsi="Arial" w:cs="Arial"/>
                <w:sz w:val="20"/>
                <w:szCs w:val="20"/>
              </w:rPr>
              <w:t>Provide sufficient blinds with user control</w:t>
            </w:r>
          </w:p>
          <w:p w14:paraId="77C509DF" w14:textId="77777777" w:rsidR="00735613" w:rsidRPr="001339A8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339A8">
              <w:rPr>
                <w:rFonts w:ascii="Arial" w:hAnsi="Arial" w:cs="Arial"/>
                <w:sz w:val="20"/>
                <w:szCs w:val="20"/>
              </w:rPr>
              <w:t>Position monitors between banks of lights (not directly under lights) &amp; perpendicular to window (reduce glare)</w:t>
            </w:r>
          </w:p>
        </w:tc>
        <w:tc>
          <w:tcPr>
            <w:tcW w:w="450" w:type="dxa"/>
          </w:tcPr>
          <w:p w14:paraId="5D18BA8D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78C26487" w14:textId="77777777" w:rsidTr="008F1083">
        <w:trPr>
          <w:trHeight w:val="278"/>
        </w:trPr>
        <w:tc>
          <w:tcPr>
            <w:tcW w:w="1260" w:type="dxa"/>
          </w:tcPr>
          <w:p w14:paraId="265077D7" w14:textId="77777777" w:rsidR="00735613" w:rsidRPr="00480F9D" w:rsidRDefault="00735613" w:rsidP="008F1083">
            <w:pPr>
              <w:spacing w:line="264" w:lineRule="auto"/>
              <w:rPr>
                <w:rFonts w:cs="Arial"/>
              </w:rPr>
            </w:pPr>
            <w:r w:rsidRPr="00480F9D">
              <w:rPr>
                <w:rFonts w:cs="Arial"/>
              </w:rPr>
              <w:t>Chair</w:t>
            </w:r>
          </w:p>
        </w:tc>
        <w:tc>
          <w:tcPr>
            <w:tcW w:w="8730" w:type="dxa"/>
          </w:tcPr>
          <w:p w14:paraId="78124A8B" w14:textId="6FA0D5F7" w:rsidR="00735613" w:rsidRPr="00281791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 xml:space="preserve">See </w:t>
            </w:r>
            <w:hyperlink r:id="rId10" w:history="1">
              <w:r w:rsidRPr="00FD2209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UBC’s Ergo Guidelines for Office Chairs</w:t>
              </w:r>
              <w:r w:rsidRPr="0028179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  <w:r w:rsidRPr="00281791">
              <w:rPr>
                <w:rFonts w:ascii="Arial" w:hAnsi="Arial" w:cs="Arial"/>
                <w:sz w:val="20"/>
                <w:szCs w:val="20"/>
              </w:rPr>
              <w:t xml:space="preserve"> for criteria and </w:t>
            </w:r>
            <w:hyperlink r:id="rId11" w:history="1">
              <w:r w:rsidRPr="00F677BD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pre-approved list of chairs</w:t>
              </w:r>
            </w:hyperlink>
          </w:p>
        </w:tc>
        <w:tc>
          <w:tcPr>
            <w:tcW w:w="450" w:type="dxa"/>
          </w:tcPr>
          <w:p w14:paraId="70C2B5B9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32178FC5" w14:textId="77777777" w:rsidTr="008F1083">
        <w:trPr>
          <w:trHeight w:val="278"/>
        </w:trPr>
        <w:tc>
          <w:tcPr>
            <w:tcW w:w="1260" w:type="dxa"/>
          </w:tcPr>
          <w:p w14:paraId="549785A7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 xml:space="preserve">Access to Electrical </w:t>
            </w:r>
          </w:p>
        </w:tc>
        <w:tc>
          <w:tcPr>
            <w:tcW w:w="8730" w:type="dxa"/>
          </w:tcPr>
          <w:p w14:paraId="53EF4630" w14:textId="77777777" w:rsidR="00735613" w:rsidRPr="00281791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To the extent possible, provide convenient access to power, preferably at desk level when this will not interfere with daily use or future configurations (consider that a height adjustable desk may be installed at a later date).</w:t>
            </w:r>
          </w:p>
        </w:tc>
        <w:tc>
          <w:tcPr>
            <w:tcW w:w="450" w:type="dxa"/>
          </w:tcPr>
          <w:p w14:paraId="1D647635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3951A892" w14:textId="77777777" w:rsidTr="008F1083">
        <w:trPr>
          <w:trHeight w:val="278"/>
        </w:trPr>
        <w:tc>
          <w:tcPr>
            <w:tcW w:w="1260" w:type="dxa"/>
          </w:tcPr>
          <w:p w14:paraId="4CF33B1A" w14:textId="77777777" w:rsidR="00735613" w:rsidRPr="00480F9D" w:rsidRDefault="00735613" w:rsidP="008F1083">
            <w:pPr>
              <w:spacing w:line="264" w:lineRule="auto"/>
              <w:rPr>
                <w:rFonts w:cs="Arial"/>
              </w:rPr>
            </w:pPr>
            <w:r w:rsidRPr="00480F9D">
              <w:rPr>
                <w:rFonts w:cs="Arial"/>
              </w:rPr>
              <w:t>Reception Desk</w:t>
            </w:r>
          </w:p>
        </w:tc>
        <w:tc>
          <w:tcPr>
            <w:tcW w:w="8730" w:type="dxa"/>
          </w:tcPr>
          <w:p w14:paraId="2A2F39AD" w14:textId="77777777" w:rsidR="00735613" w:rsidRPr="001339A8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339A8">
              <w:rPr>
                <w:rFonts w:ascii="Arial" w:hAnsi="Arial" w:cs="Arial"/>
                <w:sz w:val="20"/>
                <w:szCs w:val="20"/>
              </w:rPr>
              <w:t>Design to allow staff and customer to be at the same height (both seated or both at standing height with a higher chair available for staff)</w:t>
            </w:r>
          </w:p>
        </w:tc>
        <w:tc>
          <w:tcPr>
            <w:tcW w:w="450" w:type="dxa"/>
          </w:tcPr>
          <w:p w14:paraId="70C46488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6F95450D" w14:textId="77777777" w:rsidTr="008F1083">
        <w:trPr>
          <w:trHeight w:val="278"/>
        </w:trPr>
        <w:tc>
          <w:tcPr>
            <w:tcW w:w="1260" w:type="dxa"/>
          </w:tcPr>
          <w:p w14:paraId="0CBCC9ED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Training</w:t>
            </w:r>
          </w:p>
        </w:tc>
        <w:tc>
          <w:tcPr>
            <w:tcW w:w="8730" w:type="dxa"/>
          </w:tcPr>
          <w:p w14:paraId="419B3741" w14:textId="6E43B63A" w:rsidR="00735613" w:rsidRPr="001339A8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>Intro to Sit-Stand Desks and Ergo your Office</w:t>
            </w:r>
            <w:r w:rsidRPr="002817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hyperlink r:id="rId12" w:history="1">
              <w:r w:rsidRPr="00FD2209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workshops</w:t>
              </w:r>
            </w:hyperlink>
            <w:r w:rsidRPr="00FD2209">
              <w:rPr>
                <w:rStyle w:val="Hyperlink"/>
                <w:color w:val="auto"/>
              </w:rPr>
              <w:t xml:space="preserve"> </w:t>
            </w:r>
            <w:r w:rsidR="0057020A" w:rsidRPr="00FD2209">
              <w:rPr>
                <w:rFonts w:ascii="Arial" w:hAnsi="Arial" w:cs="Arial"/>
                <w:sz w:val="20"/>
                <w:szCs w:val="20"/>
              </w:rPr>
              <w:t>are available</w:t>
            </w:r>
          </w:p>
        </w:tc>
        <w:tc>
          <w:tcPr>
            <w:tcW w:w="450" w:type="dxa"/>
          </w:tcPr>
          <w:p w14:paraId="7AA38E41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  <w:tr w:rsidR="00735613" w14:paraId="23B02215" w14:textId="77777777" w:rsidTr="008F1083">
        <w:trPr>
          <w:trHeight w:val="278"/>
        </w:trPr>
        <w:tc>
          <w:tcPr>
            <w:tcW w:w="1260" w:type="dxa"/>
          </w:tcPr>
          <w:p w14:paraId="4C870439" w14:textId="77777777" w:rsidR="00735613" w:rsidRPr="00281791" w:rsidRDefault="00735613" w:rsidP="008F1083">
            <w:pPr>
              <w:spacing w:line="264" w:lineRule="auto"/>
              <w:rPr>
                <w:rFonts w:cs="Arial"/>
              </w:rPr>
            </w:pPr>
            <w:r w:rsidRPr="00281791">
              <w:rPr>
                <w:rFonts w:cs="Arial"/>
              </w:rPr>
              <w:t>Office Ergo Rep</w:t>
            </w:r>
          </w:p>
        </w:tc>
        <w:tc>
          <w:tcPr>
            <w:tcW w:w="8730" w:type="dxa"/>
          </w:tcPr>
          <w:p w14:paraId="72B9EC53" w14:textId="77777777" w:rsidR="00735613" w:rsidRPr="00281791" w:rsidRDefault="00735613" w:rsidP="001339A8">
            <w:pPr>
              <w:pStyle w:val="ListParagraph"/>
              <w:numPr>
                <w:ilvl w:val="0"/>
                <w:numId w:val="9"/>
              </w:numPr>
              <w:spacing w:after="60" w:line="264" w:lineRule="auto"/>
              <w:ind w:left="342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81791">
              <w:rPr>
                <w:rFonts w:ascii="Arial" w:hAnsi="Arial" w:cs="Arial"/>
                <w:sz w:val="20"/>
                <w:szCs w:val="20"/>
              </w:rPr>
              <w:t xml:space="preserve">Departments should have at least 1 </w:t>
            </w:r>
            <w:hyperlink r:id="rId13" w:history="1">
              <w:r w:rsidRPr="00FD2209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Office Ergo Rep</w:t>
              </w:r>
            </w:hyperlink>
            <w:r w:rsidRPr="0028179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281791">
              <w:rPr>
                <w:rFonts w:ascii="Arial" w:hAnsi="Arial" w:cs="Arial"/>
                <w:sz w:val="20"/>
                <w:szCs w:val="20"/>
              </w:rPr>
              <w:t>to assist with initial set up</w:t>
            </w:r>
          </w:p>
        </w:tc>
        <w:tc>
          <w:tcPr>
            <w:tcW w:w="450" w:type="dxa"/>
          </w:tcPr>
          <w:p w14:paraId="61AC2263" w14:textId="77777777" w:rsidR="00735613" w:rsidRPr="00480F9D" w:rsidRDefault="00735613" w:rsidP="008F1083">
            <w:pPr>
              <w:rPr>
                <w:rFonts w:cs="Arial"/>
              </w:rPr>
            </w:pPr>
          </w:p>
        </w:tc>
      </w:tr>
    </w:tbl>
    <w:p w14:paraId="37184B9B" w14:textId="77777777" w:rsidR="004964F7" w:rsidRDefault="004964F7" w:rsidP="004964F7"/>
    <w:p w14:paraId="3A195A31" w14:textId="28ABFA46" w:rsidR="003A4476" w:rsidRPr="00C41F20" w:rsidRDefault="004964F7" w:rsidP="00672509">
      <w:pPr>
        <w:pStyle w:val="Heading2"/>
      </w:pPr>
      <w:r w:rsidRPr="00C41F20">
        <w:t xml:space="preserve">Wet Laboratories </w:t>
      </w:r>
    </w:p>
    <w:p w14:paraId="6B4EC56E" w14:textId="77777777" w:rsidR="00C41F20" w:rsidRPr="00C41F20" w:rsidRDefault="00C41F20" w:rsidP="00672509">
      <w:pPr>
        <w:pStyle w:val="Heading3"/>
      </w:pPr>
      <w:r w:rsidRPr="00C41F20">
        <w:t>Preferred if work surfaces are height adjustable, electric/pneumatic preferred; peg/crank height adjustable is acceptable</w:t>
      </w:r>
      <w:r w:rsidR="00147ED4">
        <w:t>.</w:t>
      </w:r>
      <w:r w:rsidRPr="00C41F20">
        <w:t xml:space="preserve"> </w:t>
      </w:r>
    </w:p>
    <w:p w14:paraId="47F8FE7A" w14:textId="77777777" w:rsidR="00C41F20" w:rsidRPr="00C41F20" w:rsidRDefault="00C41F20" w:rsidP="00672509">
      <w:pPr>
        <w:pStyle w:val="Heading3"/>
      </w:pPr>
      <w:r w:rsidRPr="00C41F20">
        <w:t>For fixed height tables consider the work to be performed: large benchtop centrifuges should be placed on lower tables rather than the standard counter height of 36”</w:t>
      </w:r>
      <w:r w:rsidR="00147ED4">
        <w:t>.</w:t>
      </w:r>
    </w:p>
    <w:p w14:paraId="36476F5A" w14:textId="77777777" w:rsidR="00C41F20" w:rsidRPr="00C41F20" w:rsidRDefault="00C41F20" w:rsidP="00672509">
      <w:pPr>
        <w:pStyle w:val="Heading3"/>
      </w:pPr>
      <w:r w:rsidRPr="00C41F20">
        <w:t>Leg clearance for seated work sections: 24”deep X 30” wide (i.e. no drawers including pencil drawers in this space)</w:t>
      </w:r>
      <w:r w:rsidR="00147ED4">
        <w:t>.</w:t>
      </w:r>
    </w:p>
    <w:p w14:paraId="6D87B226" w14:textId="77777777" w:rsidR="00C41F20" w:rsidRPr="00C41F20" w:rsidRDefault="00C41F20" w:rsidP="00672509">
      <w:pPr>
        <w:pStyle w:val="Heading3"/>
      </w:pPr>
      <w:r w:rsidRPr="00C41F20">
        <w:t>Height adjustable biosafety cabinets</w:t>
      </w:r>
      <w:r w:rsidR="00147ED4">
        <w:t>.</w:t>
      </w:r>
    </w:p>
    <w:p w14:paraId="09CA4F93" w14:textId="77777777" w:rsidR="00C41F20" w:rsidRPr="00C41F20" w:rsidRDefault="00C41F20" w:rsidP="00672509">
      <w:pPr>
        <w:pStyle w:val="Heading3"/>
      </w:pPr>
      <w:r w:rsidRPr="00C41F20">
        <w:t>Preferred if biosafety cabinets can have a 14” opening or as large as possible given other safety con</w:t>
      </w:r>
      <w:r w:rsidR="00147ED4">
        <w:t>cerns, and angled glass to ease.</w:t>
      </w:r>
    </w:p>
    <w:p w14:paraId="315B5FF1" w14:textId="77777777" w:rsidR="00C41F20" w:rsidRPr="00C41F20" w:rsidRDefault="00C41F20" w:rsidP="00672509">
      <w:pPr>
        <w:pStyle w:val="Heading3"/>
      </w:pPr>
      <w:r w:rsidRPr="00C41F20">
        <w:t xml:space="preserve">2-step platform should be provided in front of mid-sized liquid nitrogen </w:t>
      </w:r>
      <w:proofErr w:type="spellStart"/>
      <w:r w:rsidRPr="00C41F20">
        <w:t>dewars</w:t>
      </w:r>
      <w:proofErr w:type="spellEnd"/>
      <w:r w:rsidRPr="00C41F20">
        <w:t xml:space="preserve"> and overhead lift for large liquid nitrogen </w:t>
      </w:r>
      <w:proofErr w:type="spellStart"/>
      <w:r w:rsidRPr="00C41F20">
        <w:t>dewars</w:t>
      </w:r>
      <w:proofErr w:type="spellEnd"/>
      <w:r w:rsidR="00147ED4">
        <w:t>.</w:t>
      </w:r>
    </w:p>
    <w:p w14:paraId="197C7A78" w14:textId="77777777" w:rsidR="00C41F20" w:rsidRPr="00C41F20" w:rsidRDefault="00C41F20" w:rsidP="00672509">
      <w:pPr>
        <w:pStyle w:val="Heading3"/>
      </w:pPr>
      <w:r w:rsidRPr="00C41F20">
        <w:t>Provide comfortable &amp; supportive lab chairs (height adjustable, backrest height and angle adjustable and foot ring height adjustable)</w:t>
      </w:r>
      <w:r w:rsidR="00147ED4">
        <w:t>.</w:t>
      </w:r>
    </w:p>
    <w:p w14:paraId="71CEE347" w14:textId="77777777" w:rsidR="003A4476" w:rsidRPr="005A01E9" w:rsidRDefault="00C41F20" w:rsidP="00672509">
      <w:pPr>
        <w:pStyle w:val="Heading2"/>
      </w:pPr>
      <w:r w:rsidRPr="00C41F20">
        <w:t>Building Services (Custodial) Residences</w:t>
      </w:r>
    </w:p>
    <w:p w14:paraId="69534DC8" w14:textId="77777777" w:rsidR="00C41F20" w:rsidRPr="007850E1" w:rsidRDefault="00C41F20" w:rsidP="00672509">
      <w:pPr>
        <w:pStyle w:val="Heading3"/>
      </w:pPr>
      <w:r w:rsidRPr="007850E1">
        <w:t xml:space="preserve">Refer to </w:t>
      </w:r>
      <w:r w:rsidR="00B539D3" w:rsidRPr="007850E1">
        <w:t>Section 10</w:t>
      </w:r>
      <w:r w:rsidR="00B539D3" w:rsidRPr="007850E1">
        <w:rPr>
          <w:rStyle w:val="Hyperlink"/>
          <w:rFonts w:cs="Arial"/>
          <w:color w:val="auto"/>
          <w:u w:val="none"/>
        </w:rPr>
        <w:t xml:space="preserve"> 00 10 Special Room Requirements</w:t>
      </w:r>
      <w:r w:rsidRPr="007850E1">
        <w:t xml:space="preserve">, </w:t>
      </w:r>
      <w:r w:rsidR="00B539D3" w:rsidRPr="007850E1">
        <w:t>paragraph</w:t>
      </w:r>
      <w:r w:rsidRPr="007850E1">
        <w:t xml:space="preserve"> 1.11</w:t>
      </w:r>
      <w:r w:rsidR="00B539D3" w:rsidRPr="007850E1">
        <w:t>.</w:t>
      </w:r>
    </w:p>
    <w:p w14:paraId="3BDBD65C" w14:textId="77777777" w:rsidR="00C41F20" w:rsidRPr="00C41F20" w:rsidRDefault="00C41F20" w:rsidP="00672509">
      <w:pPr>
        <w:pStyle w:val="Heading3"/>
      </w:pPr>
      <w:r w:rsidRPr="00C41F20">
        <w:lastRenderedPageBreak/>
        <w:t>Ensure main storage room is large enough to accommodate equipment such as auto floor cleaners and a washer/drier (for mop heads)-consider raised platform for frontload washer</w:t>
      </w:r>
      <w:r w:rsidR="00147ED4">
        <w:t>.</w:t>
      </w:r>
    </w:p>
    <w:p w14:paraId="7BBB660E" w14:textId="77777777" w:rsidR="00C41F20" w:rsidRPr="00C41F20" w:rsidRDefault="00C41F20" w:rsidP="00672509">
      <w:pPr>
        <w:pStyle w:val="Heading3"/>
      </w:pPr>
      <w:r w:rsidRPr="00C41F20">
        <w:t xml:space="preserve">Accessible service elevators in every building large enough for custodial equipment, such as trash carts, floor scrubbers and </w:t>
      </w:r>
      <w:r w:rsidR="00147ED4">
        <w:t>large no-touch cleaning systems.</w:t>
      </w:r>
    </w:p>
    <w:p w14:paraId="5F4710BC" w14:textId="77777777" w:rsidR="00C41F20" w:rsidRPr="00C41F20" w:rsidRDefault="00C41F20" w:rsidP="00672509">
      <w:pPr>
        <w:pStyle w:val="Heading3"/>
      </w:pPr>
      <w:r w:rsidRPr="00C41F20">
        <w:t>Ease of cleaning/maintenance: provide surfaces that are easy to clean and easy access to equipment for maintenance and ensure flooring is slip resistant</w:t>
      </w:r>
      <w:r w:rsidR="00147ED4">
        <w:t>.</w:t>
      </w:r>
    </w:p>
    <w:p w14:paraId="4459DAA2" w14:textId="77777777" w:rsidR="00C41F20" w:rsidRPr="00C41F20" w:rsidRDefault="00C41F20" w:rsidP="00672509">
      <w:pPr>
        <w:pStyle w:val="Heading3"/>
      </w:pPr>
      <w:r w:rsidRPr="00C41F20">
        <w:t>Ensure materials used for walls and sub-floors support the moisture of no-touch cleaning systems</w:t>
      </w:r>
      <w:r w:rsidR="00147ED4">
        <w:t>.</w:t>
      </w:r>
    </w:p>
    <w:p w14:paraId="462546A1" w14:textId="77777777" w:rsidR="00C41F20" w:rsidRPr="00C41F20" w:rsidRDefault="00C41F20" w:rsidP="00672509">
      <w:pPr>
        <w:pStyle w:val="Heading3"/>
      </w:pPr>
      <w:r w:rsidRPr="00C41F20">
        <w:t>Ensure flooring slopes down to drain-avoid placing drain higher than flooring</w:t>
      </w:r>
      <w:r w:rsidR="00147ED4">
        <w:t>.</w:t>
      </w:r>
    </w:p>
    <w:p w14:paraId="1F1356CC" w14:textId="77777777" w:rsidR="00C41F20" w:rsidRPr="00C41F20" w:rsidRDefault="00C41F20" w:rsidP="00672509">
      <w:pPr>
        <w:pStyle w:val="Heading3"/>
      </w:pPr>
      <w:r w:rsidRPr="00C41F20">
        <w:t>Consider installing shower hoses-this will make it easier for building service workers when cleaning showers</w:t>
      </w:r>
      <w:r w:rsidR="00147ED4">
        <w:t>.</w:t>
      </w:r>
    </w:p>
    <w:p w14:paraId="43F58E73" w14:textId="492DD4E2" w:rsidR="00C41F20" w:rsidRPr="00C41F20" w:rsidRDefault="007D708B" w:rsidP="007D708B">
      <w:pPr>
        <w:pStyle w:val="Heading3"/>
      </w:pPr>
      <w:r w:rsidRPr="007D708B">
        <w:rPr>
          <w:color w:val="000000"/>
        </w:rPr>
        <w:t>Install toilet systems that have a high Waste Removal Performance Measure (MaP3) rating</w:t>
      </w:r>
      <w:r>
        <w:rPr>
          <w:color w:val="000000"/>
        </w:rPr>
        <w:t>.</w:t>
      </w:r>
      <w:r w:rsidRPr="007D708B">
        <w:rPr>
          <w:color w:val="000000"/>
        </w:rPr>
        <w:t xml:space="preserve"> </w:t>
      </w:r>
    </w:p>
    <w:p w14:paraId="3E66B06A" w14:textId="77777777" w:rsidR="00C41F20" w:rsidRPr="00C41F20" w:rsidRDefault="00C41F20" w:rsidP="00672509">
      <w:pPr>
        <w:pStyle w:val="Heading3"/>
      </w:pPr>
      <w:r w:rsidRPr="00C41F20">
        <w:t>Ensure furniture in resident rooms can be moved with &lt;30lbs of force</w:t>
      </w:r>
      <w:r w:rsidR="005A01E9">
        <w:t>.</w:t>
      </w:r>
    </w:p>
    <w:p w14:paraId="048A95CC" w14:textId="77777777" w:rsidR="00C41F20" w:rsidRPr="00C41F20" w:rsidRDefault="00C41F20" w:rsidP="00672509">
      <w:pPr>
        <w:pStyle w:val="Heading3"/>
      </w:pPr>
      <w:r w:rsidRPr="00C41F20">
        <w:t>Ensure resident room layout provides sufficient space for staff to be able to make beds</w:t>
      </w:r>
      <w:r w:rsidR="00147ED4">
        <w:t>.</w:t>
      </w:r>
    </w:p>
    <w:p w14:paraId="729012A9" w14:textId="77777777" w:rsidR="00C41F20" w:rsidRDefault="00C41F20" w:rsidP="00C22E96">
      <w:pPr>
        <w:pStyle w:val="Heading2"/>
      </w:pPr>
      <w:r w:rsidRPr="005A01E9">
        <w:t xml:space="preserve">Food Services </w:t>
      </w:r>
    </w:p>
    <w:p w14:paraId="6565985D" w14:textId="38DF4208" w:rsidR="00C41F20" w:rsidRPr="00C41F20" w:rsidRDefault="00C41F20" w:rsidP="00C22E96">
      <w:pPr>
        <w:pStyle w:val="Heading3"/>
      </w:pPr>
      <w:r w:rsidRPr="00C41F20">
        <w:t xml:space="preserve">Review ergonomic risk in CAD design with </w:t>
      </w:r>
      <w:r w:rsidR="00F677BD" w:rsidRPr="00E10D5B">
        <w:rPr>
          <w:rFonts w:ascii="Arial" w:hAnsi="Arial" w:cs="Arial"/>
        </w:rPr>
        <w:t>UBC Okanagan Risk Management Services (</w:t>
      </w:r>
      <w:hyperlink r:id="rId14" w:history="1">
        <w:r w:rsidR="00F677BD" w:rsidRPr="00612024">
          <w:rPr>
            <w:rStyle w:val="Hyperlink"/>
            <w:rFonts w:ascii="Arial" w:hAnsi="Arial" w:cs="Arial"/>
          </w:rPr>
          <w:t>riskmanagement.ok@ubc.ca</w:t>
        </w:r>
      </w:hyperlink>
      <w:r w:rsidR="00F677BD" w:rsidRPr="00E10D5B">
        <w:rPr>
          <w:rFonts w:ascii="Arial" w:hAnsi="Arial" w:cs="Arial"/>
        </w:rPr>
        <w:t>, 250-807-8859)</w:t>
      </w:r>
    </w:p>
    <w:p w14:paraId="0593146F" w14:textId="77777777" w:rsidR="00C41F20" w:rsidRPr="00C41F20" w:rsidRDefault="00C41F20" w:rsidP="00C22E96">
      <w:pPr>
        <w:pStyle w:val="Heading3"/>
      </w:pPr>
      <w:r w:rsidRPr="00C41F20">
        <w:t>Pass through to customer: Provide barrier free area to allow staff to comfortably pass food to customers; keep frequent reaching to &lt;14” and below chest level</w:t>
      </w:r>
      <w:r w:rsidR="00147ED4">
        <w:t>.</w:t>
      </w:r>
      <w:r w:rsidRPr="00C41F20">
        <w:t xml:space="preserve"> </w:t>
      </w:r>
    </w:p>
    <w:p w14:paraId="7683A855" w14:textId="77777777" w:rsidR="00C41F20" w:rsidRPr="00C41F20" w:rsidRDefault="00C41F20" w:rsidP="00C22E96">
      <w:pPr>
        <w:pStyle w:val="Heading3"/>
      </w:pPr>
      <w:r w:rsidRPr="00C41F20">
        <w:t>Rationale: minimize extended frequent reaching (CSA Z1004-12, B.3.3.2 (p.74), frequent reach zone &lt;14”)</w:t>
      </w:r>
      <w:r w:rsidR="00147ED4">
        <w:t>.</w:t>
      </w:r>
    </w:p>
    <w:p w14:paraId="33DDC60E" w14:textId="77777777" w:rsidR="00C41F20" w:rsidRPr="00C41F20" w:rsidRDefault="00C41F20" w:rsidP="00C22E96">
      <w:pPr>
        <w:pStyle w:val="Heading3"/>
      </w:pPr>
      <w:r w:rsidRPr="00C41F20">
        <w:t>Pass through between cook and sales attendant: Provide area that requires minimal reach for both staff and sales attendants</w:t>
      </w:r>
      <w:r w:rsidR="00147ED4">
        <w:t>.</w:t>
      </w:r>
      <w:r w:rsidRPr="00C41F20">
        <w:t xml:space="preserve">  </w:t>
      </w:r>
    </w:p>
    <w:p w14:paraId="5E03E69E" w14:textId="77777777" w:rsidR="00C41F20" w:rsidRPr="00C41F20" w:rsidRDefault="00C41F20" w:rsidP="00C22E96">
      <w:pPr>
        <w:pStyle w:val="Heading3"/>
      </w:pPr>
      <w:r w:rsidRPr="00C41F20">
        <w:t>Rationale: minimize extended frequent reaching (CSA Z1004-12, B.3.3.2 (p.74), frequent reach zone &lt;14”)</w:t>
      </w:r>
      <w:r w:rsidR="00147ED4">
        <w:t>.</w:t>
      </w:r>
    </w:p>
    <w:p w14:paraId="56B32BF1" w14:textId="77777777" w:rsidR="00C41F20" w:rsidRPr="00C41F20" w:rsidRDefault="00C41F20" w:rsidP="00C22E96">
      <w:pPr>
        <w:pStyle w:val="Heading3"/>
      </w:pPr>
      <w:r w:rsidRPr="00C41F20">
        <w:t>Working Heights: provide height adjustable preferred; if that is not possible other options for varying work heights to accommodate the different types of tasks require</w:t>
      </w:r>
      <w:r w:rsidR="00147ED4">
        <w:t>.</w:t>
      </w:r>
    </w:p>
    <w:p w14:paraId="32A98FA6" w14:textId="77777777" w:rsidR="00C41F20" w:rsidRPr="00C41F20" w:rsidRDefault="00C41F20" w:rsidP="00C22E96">
      <w:pPr>
        <w:pStyle w:val="Heading3"/>
      </w:pPr>
      <w:r w:rsidRPr="00C41F20">
        <w:t>Rationale: tasks that require precision are best done at a table slightly above elbow height while tasks that require force at best done at a table below elbow height (CSA Z1004-12, tool 3b, p.80; precise work: 1.5 to 2” above elbow; light work: 2 to 4” below elbow; and, heavy work: 7 to 15” below elbow height)</w:t>
      </w:r>
      <w:r w:rsidR="00147ED4">
        <w:t>.</w:t>
      </w:r>
    </w:p>
    <w:p w14:paraId="2DF897A4" w14:textId="77777777" w:rsidR="00C41F20" w:rsidRPr="00C41F20" w:rsidRDefault="00C41F20" w:rsidP="00C22E96">
      <w:pPr>
        <w:pStyle w:val="Heading3"/>
      </w:pPr>
      <w:r w:rsidRPr="00C41F20">
        <w:t>Garbage, compost &amp; recycling: Provide sufficient space for compost bins near to where they will be needed; ensure compost bins are on wheels for transport or if not, the bins should be small for lifting/carrying; ensure there is a clear pathway between point of origin and destination</w:t>
      </w:r>
      <w:r w:rsidR="00147ED4">
        <w:t>.</w:t>
      </w:r>
    </w:p>
    <w:p w14:paraId="34DE3B3B" w14:textId="77777777" w:rsidR="00C41F20" w:rsidRPr="00C41F20" w:rsidRDefault="00C41F20" w:rsidP="00C22E96">
      <w:pPr>
        <w:pStyle w:val="Heading3"/>
      </w:pPr>
      <w:r w:rsidRPr="00C41F20">
        <w:t xml:space="preserve">Storage area(s): specific square footage will vary; design to provide more than enough space to store all the needed items and allow space for expansion as it is likely that storage requirements will increase over time. </w:t>
      </w:r>
    </w:p>
    <w:p w14:paraId="4C93194E" w14:textId="77777777" w:rsidR="00C41F20" w:rsidRPr="00C41F20" w:rsidRDefault="00C41F20" w:rsidP="00C22E96">
      <w:pPr>
        <w:pStyle w:val="Heading3"/>
      </w:pPr>
      <w:r w:rsidRPr="00C41F20">
        <w:t xml:space="preserve">Rationale: Planning for sufficient storage space is critical to reducing musculoskeletal injury risks; insufficient space results in staff working in awkward postures and double handling products which significantly increases the risk of injury. </w:t>
      </w:r>
    </w:p>
    <w:p w14:paraId="423E9B21" w14:textId="77777777" w:rsidR="00C41F20" w:rsidRPr="00C41F20" w:rsidRDefault="00C41F20" w:rsidP="00C22E96">
      <w:pPr>
        <w:pStyle w:val="Heading3"/>
      </w:pPr>
      <w:r w:rsidRPr="00C41F20">
        <w:lastRenderedPageBreak/>
        <w:t>Ease of cleaning/maintenance: provide surfaces that are easy to clean and easy access to equipment for maintenance and ensure flooring is slip resistant</w:t>
      </w:r>
      <w:r w:rsidR="00147ED4">
        <w:t>.</w:t>
      </w:r>
    </w:p>
    <w:p w14:paraId="753C6A1B" w14:textId="77777777" w:rsidR="003A4476" w:rsidRPr="00C41F20" w:rsidRDefault="00C41F20" w:rsidP="00C22E96">
      <w:pPr>
        <w:pStyle w:val="Heading2"/>
      </w:pPr>
      <w:r w:rsidRPr="00C41F20">
        <w:t>Waste Management</w:t>
      </w:r>
    </w:p>
    <w:p w14:paraId="35B4CF75" w14:textId="77777777" w:rsidR="00C41F20" w:rsidRPr="007850E1" w:rsidRDefault="00C41F20" w:rsidP="00C22E96">
      <w:pPr>
        <w:pStyle w:val="Heading3"/>
      </w:pPr>
      <w:r w:rsidRPr="007850E1">
        <w:t xml:space="preserve">Refer to </w:t>
      </w:r>
      <w:r w:rsidR="00147ED4" w:rsidRPr="007850E1">
        <w:t>Section 11 82 00 Waste Handling Management.</w:t>
      </w:r>
    </w:p>
    <w:p w14:paraId="74878A7A" w14:textId="77777777" w:rsidR="00C41F20" w:rsidRPr="00C41F20" w:rsidRDefault="00C41F20" w:rsidP="00C22E96">
      <w:pPr>
        <w:pStyle w:val="Heading3"/>
      </w:pPr>
      <w:r w:rsidRPr="00C41F20">
        <w:t>Addition to 1.1.2.5: Ramp/Ground level access should be provided near the loading dock or primary point of exit when staff are bringing compost/recycling bins to designated pickup area</w:t>
      </w:r>
      <w:r w:rsidR="00147ED4">
        <w:t>.</w:t>
      </w:r>
    </w:p>
    <w:p w14:paraId="0ED85565" w14:textId="77777777" w:rsidR="00C41F20" w:rsidRPr="00C41F20" w:rsidRDefault="00C41F20" w:rsidP="00C22E96">
      <w:pPr>
        <w:pStyle w:val="Heading3"/>
      </w:pPr>
      <w:r w:rsidRPr="00C41F20">
        <w:t>Rationale: ease of access-avoid need for staff to bump bins down a set of stairs or walk long way around building</w:t>
      </w:r>
      <w:r w:rsidR="00147ED4">
        <w:t>.</w:t>
      </w:r>
    </w:p>
    <w:p w14:paraId="1C50CCE6" w14:textId="77777777" w:rsidR="00C41F20" w:rsidRPr="00C41F20" w:rsidRDefault="00C41F20" w:rsidP="00C22E96">
      <w:pPr>
        <w:pStyle w:val="Heading3"/>
      </w:pPr>
      <w:r w:rsidRPr="00C41F20">
        <w:t>Height of waste containers (dumpsters): ≤36” at opening or provide platform/dock.</w:t>
      </w:r>
    </w:p>
    <w:p w14:paraId="62D158C9" w14:textId="77777777" w:rsidR="00C41F20" w:rsidRPr="00C41F20" w:rsidRDefault="00C41F20" w:rsidP="00C22E96">
      <w:pPr>
        <w:pStyle w:val="Heading3"/>
      </w:pPr>
      <w:r w:rsidRPr="00C41F20">
        <w:t>Rationale: eliminate above shoulder level reaching for staff when throwing out garbage</w:t>
      </w:r>
      <w:r w:rsidR="00147ED4">
        <w:t>.</w:t>
      </w:r>
    </w:p>
    <w:p w14:paraId="144810EE" w14:textId="77777777" w:rsidR="00C41F20" w:rsidRPr="00C41F20" w:rsidRDefault="00C41F20" w:rsidP="00C22E96">
      <w:pPr>
        <w:pStyle w:val="Heading3"/>
      </w:pPr>
      <w:r w:rsidRPr="00C41F20">
        <w:t>Clear/smooth path with minimal distance when pushing compost/recycling bins to designated pickup area</w:t>
      </w:r>
      <w:r w:rsidR="00147ED4">
        <w:t>.</w:t>
      </w:r>
    </w:p>
    <w:p w14:paraId="2BBE423E" w14:textId="77777777" w:rsidR="00C41F20" w:rsidRPr="00C41F20" w:rsidRDefault="00C41F20" w:rsidP="00C22E96">
      <w:pPr>
        <w:pStyle w:val="Heading3"/>
      </w:pPr>
      <w:r w:rsidRPr="00C41F20">
        <w:t>Rationale: recycling/compost bins, particularly compost bins, can become heavy and/or difficult to push particularly over uneven surfaces</w:t>
      </w:r>
      <w:r w:rsidR="00147ED4">
        <w:t>.</w:t>
      </w:r>
    </w:p>
    <w:p w14:paraId="3D001ED0" w14:textId="77777777" w:rsidR="00C41F20" w:rsidRPr="00C41F20" w:rsidRDefault="00C41F20" w:rsidP="00C22E96">
      <w:pPr>
        <w:pStyle w:val="Heading3"/>
      </w:pPr>
      <w:r w:rsidRPr="00C41F20">
        <w:t xml:space="preserve">Compactor.  Provide sufficient space for electronic assist tow to remove compactor from building when bringing to designated pick-up (confirm clearance with CAD drawings). </w:t>
      </w:r>
    </w:p>
    <w:p w14:paraId="48AAE6AE" w14:textId="77777777" w:rsidR="00C41F20" w:rsidRPr="00C41F20" w:rsidRDefault="00C41F20" w:rsidP="00C22E96">
      <w:pPr>
        <w:pStyle w:val="Heading3"/>
      </w:pPr>
      <w:r w:rsidRPr="00C41F20">
        <w:t xml:space="preserve">Rationale: Large compactors require &gt;50lbs of pull force; electronic assist tow will need to be provided to reduce musculoskeletal injury risk factors. </w:t>
      </w:r>
    </w:p>
    <w:p w14:paraId="5F5FEE8A" w14:textId="6F4C09AA" w:rsidR="006365E2" w:rsidRPr="00C22E96" w:rsidRDefault="002E793C" w:rsidP="00B31671">
      <w:pPr>
        <w:pStyle w:val="EndOfSection"/>
        <w:spacing w:before="480"/>
        <w:rPr>
          <w:rFonts w:cs="Arial"/>
        </w:rPr>
      </w:pPr>
      <w:r>
        <w:rPr>
          <w:rFonts w:cs="Arial"/>
        </w:rPr>
        <w:t>***</w:t>
      </w:r>
      <w:r w:rsidR="00C22E96" w:rsidRPr="00B96641">
        <w:rPr>
          <w:rFonts w:cs="Arial"/>
        </w:rPr>
        <w:t>END OF SECTION</w:t>
      </w:r>
      <w:r>
        <w:rPr>
          <w:rFonts w:cs="Arial"/>
        </w:rPr>
        <w:t>***</w:t>
      </w:r>
    </w:p>
    <w:sectPr w:rsidR="006365E2" w:rsidRPr="00C22E96" w:rsidSect="003514A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B6B6A" w14:textId="77777777" w:rsidR="00C479AC" w:rsidRDefault="00C479AC">
      <w:r>
        <w:separator/>
      </w:r>
    </w:p>
  </w:endnote>
  <w:endnote w:type="continuationSeparator" w:id="0">
    <w:p w14:paraId="7EC72B8D" w14:textId="77777777" w:rsidR="00C479AC" w:rsidRDefault="00C4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4896" w14:textId="37E27FD3" w:rsidR="000E2762" w:rsidRPr="000E2762" w:rsidRDefault="000E2762" w:rsidP="000E2762">
    <w:pPr>
      <w:pBdr>
        <w:top w:val="single" w:sz="4" w:space="1" w:color="auto"/>
      </w:pBdr>
      <w:tabs>
        <w:tab w:val="right" w:pos="9360"/>
      </w:tabs>
      <w:suppressAutoHyphens/>
      <w:jc w:val="both"/>
      <w:rPr>
        <w:rFonts w:cs="Arial"/>
        <w:spacing w:val="-3"/>
        <w:sz w:val="16"/>
      </w:rPr>
    </w:pPr>
    <w:r w:rsidRPr="000E2762">
      <w:rPr>
        <w:rFonts w:cs="Arial"/>
        <w:spacing w:val="-3"/>
        <w:sz w:val="16"/>
      </w:rPr>
      <w:t>The University of British Columbia</w:t>
    </w:r>
    <w:r w:rsidRPr="000E2762">
      <w:rPr>
        <w:rFonts w:cs="Arial"/>
        <w:spacing w:val="-3"/>
        <w:sz w:val="16"/>
      </w:rPr>
      <w:tab/>
    </w:r>
    <w:r w:rsidRPr="000E2762">
      <w:rPr>
        <w:rFonts w:cs="Arial"/>
        <w:spacing w:val="-1"/>
        <w:sz w:val="16"/>
      </w:rPr>
      <w:t xml:space="preserve"> Date Technical Guidelines Updated: </w:t>
    </w:r>
    <w:r w:rsidR="00F1567B">
      <w:rPr>
        <w:rFonts w:cs="Arial"/>
        <w:spacing w:val="-1"/>
        <w:sz w:val="16"/>
      </w:rPr>
      <w:t>November 202</w:t>
    </w:r>
    <w:r w:rsidR="00AA3353">
      <w:rPr>
        <w:rFonts w:cs="Arial"/>
        <w:spacing w:val="-1"/>
        <w:sz w:val="16"/>
      </w:rPr>
      <w:t>3</w:t>
    </w:r>
  </w:p>
  <w:p w14:paraId="00DBA8B1" w14:textId="77777777" w:rsidR="000E2762" w:rsidRPr="000E2762" w:rsidRDefault="000E2762" w:rsidP="000E2762">
    <w:pPr>
      <w:tabs>
        <w:tab w:val="right" w:pos="9360"/>
      </w:tabs>
      <w:suppressAutoHyphens/>
      <w:jc w:val="both"/>
      <w:rPr>
        <w:rFonts w:cs="Arial"/>
        <w:bCs/>
        <w:spacing w:val="-3"/>
        <w:sz w:val="16"/>
      </w:rPr>
    </w:pPr>
    <w:r w:rsidRPr="000E2762">
      <w:rPr>
        <w:rFonts w:cs="Arial"/>
        <w:spacing w:val="-3"/>
        <w:sz w:val="16"/>
      </w:rPr>
      <w:t>Technical Guidelines</w:t>
    </w:r>
    <w:r w:rsidRPr="000E2762">
      <w:rPr>
        <w:rFonts w:cs="Arial"/>
        <w:spacing w:val="-3"/>
        <w:sz w:val="16"/>
      </w:rPr>
      <w:tab/>
      <w:t>Date Modified for Project No.</w:t>
    </w:r>
    <w:r w:rsidRPr="000E2762">
      <w:rPr>
        <w:rFonts w:cs="Arial"/>
        <w:b/>
        <w:sz w:val="16"/>
      </w:rPr>
      <w:t xml:space="preserve"> </w:t>
    </w:r>
    <w:r w:rsidRPr="000E2762">
      <w:rPr>
        <w:rFonts w:cs="Arial"/>
        <w:bCs/>
        <w:sz w:val="16"/>
      </w:rPr>
      <w:t>&lt;</w:t>
    </w:r>
    <w:r w:rsidRPr="000E2762">
      <w:rPr>
        <w:rFonts w:cs="Arial"/>
        <w:bCs/>
        <w:i/>
        <w:sz w:val="16"/>
      </w:rPr>
      <w:t>Insert #</w:t>
    </w:r>
    <w:r w:rsidRPr="000E2762">
      <w:rPr>
        <w:rFonts w:cs="Arial"/>
        <w:bCs/>
        <w:sz w:val="16"/>
      </w:rPr>
      <w:t>&gt;</w:t>
    </w:r>
    <w:r w:rsidRPr="000E2762">
      <w:rPr>
        <w:rFonts w:cs="Arial"/>
        <w:bCs/>
        <w:spacing w:val="-3"/>
        <w:sz w:val="16"/>
      </w:rPr>
      <w:t>:</w:t>
    </w:r>
    <w:r w:rsidRPr="000E2762">
      <w:rPr>
        <w:rFonts w:cs="Arial"/>
        <w:bCs/>
        <w:sz w:val="16"/>
      </w:rPr>
      <w:t>&lt;</w:t>
    </w:r>
    <w:r w:rsidRPr="000E2762">
      <w:rPr>
        <w:rFonts w:cs="Arial"/>
        <w:bCs/>
        <w:i/>
        <w:sz w:val="16"/>
      </w:rPr>
      <w:t>Insert date</w:t>
    </w:r>
    <w:r w:rsidRPr="000E2762">
      <w:rPr>
        <w:rFonts w:cs="Arial"/>
        <w:bCs/>
        <w:sz w:val="16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CE17A" w14:textId="77777777" w:rsidR="00C479AC" w:rsidRDefault="00C479AC">
      <w:r>
        <w:separator/>
      </w:r>
    </w:p>
  </w:footnote>
  <w:footnote w:type="continuationSeparator" w:id="0">
    <w:p w14:paraId="4B4BC38A" w14:textId="77777777" w:rsidR="00C479AC" w:rsidRDefault="00C479AC">
      <w:r>
        <w:continuationSeparator/>
      </w:r>
    </w:p>
  </w:footnote>
  <w:footnote w:id="1">
    <w:p w14:paraId="537F7D08" w14:textId="77777777" w:rsidR="00735613" w:rsidRPr="00773773" w:rsidRDefault="00735613" w:rsidP="00A57C02">
      <w:pPr>
        <w:pStyle w:val="FootnoteText"/>
        <w:ind w:left="-360"/>
        <w:rPr>
          <w:sz w:val="16"/>
          <w:szCs w:val="16"/>
        </w:rPr>
      </w:pPr>
      <w:r w:rsidRPr="00281791">
        <w:rPr>
          <w:rStyle w:val="FootnoteReference"/>
          <w:szCs w:val="16"/>
        </w:rPr>
        <w:footnoteRef/>
      </w:r>
      <w:r w:rsidRPr="00281791">
        <w:rPr>
          <w:szCs w:val="16"/>
        </w:rPr>
        <w:t xml:space="preserve"> Articulating swivel up mouse platform may be acceptable if it keeps mouse close and is easy to switch between the right and left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1043" w14:textId="77777777" w:rsidR="00CC2A99" w:rsidRPr="00FD35AA" w:rsidRDefault="00CC2A99" w:rsidP="00F1567B">
    <w:pPr>
      <w:pStyle w:val="Header"/>
      <w:pBdr>
        <w:top w:val="single" w:sz="4" w:space="1" w:color="auto"/>
      </w:pBdr>
      <w:tabs>
        <w:tab w:val="left" w:pos="0"/>
        <w:tab w:val="center" w:pos="4680"/>
      </w:tabs>
      <w:spacing w:line="240" w:lineRule="exact"/>
      <w:rPr>
        <w:rFonts w:ascii="Arial" w:hAnsi="Arial" w:cs="Arial"/>
        <w:b/>
        <w:sz w:val="22"/>
        <w:szCs w:val="22"/>
      </w:rPr>
    </w:pPr>
    <w:r w:rsidRPr="00FD35AA">
      <w:rPr>
        <w:rFonts w:ascii="Arial" w:hAnsi="Arial" w:cs="Arial"/>
        <w:b/>
        <w:sz w:val="22"/>
        <w:szCs w:val="22"/>
      </w:rPr>
      <w:t>UBC OKANAGAN</w:t>
    </w:r>
  </w:p>
  <w:p w14:paraId="22A235AC" w14:textId="5D978868" w:rsidR="00DF47B8" w:rsidRPr="005728CF" w:rsidRDefault="00DF47B8" w:rsidP="00DF47B8">
    <w:pPr>
      <w:pStyle w:val="Header"/>
      <w:pBdr>
        <w:top w:val="single" w:sz="4" w:space="1" w:color="auto"/>
      </w:pBdr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>
      <w:rPr>
        <w:b/>
      </w:rPr>
      <w:t>RfT#202</w:t>
    </w:r>
    <w:r w:rsidRPr="00687B4B">
      <w:rPr>
        <w:b/>
      </w:rPr>
      <w:t>x</w:t>
    </w:r>
    <w:r>
      <w:rPr>
        <w:b/>
      </w:rPr>
      <w:t>xxxxxx</w:t>
    </w:r>
    <w:r>
      <w:rPr>
        <w:b/>
      </w:rPr>
      <w:tab/>
    </w:r>
    <w:r>
      <w:rPr>
        <w:b/>
      </w:rPr>
      <w:tab/>
    </w:r>
    <w:r w:rsidRPr="00F1567B">
      <w:rPr>
        <w:b/>
      </w:rPr>
      <w:t xml:space="preserve">SECTION </w:t>
    </w:r>
    <w:r w:rsidR="00FD2209" w:rsidRPr="00F1567B">
      <w:rPr>
        <w:b/>
      </w:rPr>
      <w:t>01 87 13.1</w:t>
    </w:r>
  </w:p>
  <w:p w14:paraId="43F1BF4E" w14:textId="38C95639" w:rsidR="00DF47B8" w:rsidRPr="002E49C2" w:rsidRDefault="00DF47B8" w:rsidP="00DF47B8">
    <w:pPr>
      <w:pStyle w:val="Header"/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 w:rsidRPr="005728CF">
      <w:rPr>
        <w:b/>
      </w:rPr>
      <w:t>Project No. &lt;</w:t>
    </w:r>
    <w:r w:rsidRPr="005728CF">
      <w:rPr>
        <w:b/>
        <w:i/>
        <w:iCs/>
      </w:rPr>
      <w:t>Insert #</w:t>
    </w:r>
    <w:r w:rsidRPr="005728CF">
      <w:rPr>
        <w:b/>
      </w:rPr>
      <w:t>&gt;</w:t>
    </w:r>
    <w:r w:rsidRPr="005728CF">
      <w:rPr>
        <w:b/>
      </w:rPr>
      <w:tab/>
    </w:r>
    <w:r w:rsidRPr="005728CF">
      <w:rPr>
        <w:b/>
      </w:rPr>
      <w:tab/>
    </w:r>
    <w:r w:rsidRPr="007D09F9">
      <w:rPr>
        <w:rFonts w:cs="Arial"/>
        <w:b/>
      </w:rPr>
      <w:t>ERGONOMICS REQUIREMENTS</w:t>
    </w:r>
  </w:p>
  <w:p w14:paraId="2C44F98A" w14:textId="5971FF3C" w:rsidR="00DF47B8" w:rsidRPr="002E49C2" w:rsidRDefault="00DF47B8" w:rsidP="00DF47B8">
    <w:pPr>
      <w:pStyle w:val="Header"/>
      <w:pBdr>
        <w:bottom w:val="single" w:sz="4" w:space="1" w:color="auto"/>
      </w:pBdr>
      <w:tabs>
        <w:tab w:val="left" w:pos="0"/>
        <w:tab w:val="center" w:pos="4680"/>
      </w:tabs>
      <w:spacing w:line="240" w:lineRule="exact"/>
      <w:rPr>
        <w:rStyle w:val="PageNumber"/>
        <w:b/>
        <w:caps/>
      </w:rPr>
    </w:pPr>
    <w:r w:rsidRPr="002E49C2">
      <w:rPr>
        <w:b/>
        <w:i/>
        <w:iCs/>
      </w:rPr>
      <w:t>&lt;Insert Project Title&gt;</w:t>
    </w:r>
    <w:r w:rsidRPr="002E49C2">
      <w:rPr>
        <w:b/>
      </w:rPr>
      <w:tab/>
    </w:r>
    <w:r w:rsidRPr="002E49C2">
      <w:rPr>
        <w:b/>
      </w:rPr>
      <w:tab/>
    </w:r>
    <w:r w:rsidRPr="002E49C2">
      <w:rPr>
        <w:b/>
        <w:caps/>
      </w:rPr>
      <w:t xml:space="preserve">Page </w:t>
    </w:r>
    <w:r w:rsidRPr="002E49C2">
      <w:rPr>
        <w:rStyle w:val="PageNumber"/>
        <w:b/>
        <w:bCs/>
      </w:rPr>
      <w:fldChar w:fldCharType="begin"/>
    </w:r>
    <w:r w:rsidRPr="002E49C2">
      <w:rPr>
        <w:rStyle w:val="PageNumber"/>
        <w:b/>
        <w:bCs/>
      </w:rPr>
      <w:instrText xml:space="preserve"> PAGE </w:instrText>
    </w:r>
    <w:r w:rsidRPr="002E49C2">
      <w:rPr>
        <w:rStyle w:val="PageNumber"/>
        <w:b/>
        <w:bCs/>
      </w:rPr>
      <w:fldChar w:fldCharType="separate"/>
    </w:r>
    <w:r w:rsidR="00F677BD">
      <w:rPr>
        <w:rStyle w:val="PageNumber"/>
        <w:b/>
        <w:bCs/>
        <w:noProof/>
      </w:rPr>
      <w:t>1</w:t>
    </w:r>
    <w:r w:rsidRPr="002E49C2">
      <w:rPr>
        <w:rStyle w:val="PageNumber"/>
        <w:b/>
        <w:bCs/>
      </w:rPr>
      <w:fldChar w:fldCharType="end"/>
    </w:r>
    <w:r w:rsidRPr="002E49C2">
      <w:rPr>
        <w:rStyle w:val="PageNumber"/>
        <w:b/>
        <w:bCs/>
      </w:rPr>
      <w:t xml:space="preserve"> OF </w:t>
    </w:r>
    <w:r w:rsidR="002577E7">
      <w:rPr>
        <w:rStyle w:val="PageNumber"/>
        <w:b/>
      </w:rPr>
      <w:fldChar w:fldCharType="begin"/>
    </w:r>
    <w:r w:rsidR="002577E7">
      <w:rPr>
        <w:rStyle w:val="PageNumber"/>
        <w:b/>
      </w:rPr>
      <w:instrText xml:space="preserve"> SECTIONPAGES   \* MERGEFORMAT </w:instrText>
    </w:r>
    <w:r w:rsidR="002577E7">
      <w:rPr>
        <w:rStyle w:val="PageNumber"/>
        <w:b/>
      </w:rPr>
      <w:fldChar w:fldCharType="separate"/>
    </w:r>
    <w:r w:rsidR="00AA3353">
      <w:rPr>
        <w:rStyle w:val="PageNumber"/>
        <w:b/>
        <w:noProof/>
      </w:rPr>
      <w:t>4</w:t>
    </w:r>
    <w:r w:rsidR="002577E7">
      <w:rPr>
        <w:rStyle w:val="PageNumber"/>
        <w:b/>
      </w:rPr>
      <w:fldChar w:fldCharType="end"/>
    </w:r>
  </w:p>
  <w:p w14:paraId="6D25F3AE" w14:textId="77777777" w:rsidR="00DF47B8" w:rsidRDefault="00DF47B8" w:rsidP="00DF4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D2C0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Arial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2" w15:restartNumberingAfterBreak="0">
    <w:nsid w:val="040F6989"/>
    <w:multiLevelType w:val="multilevel"/>
    <w:tmpl w:val="ED84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0E5105"/>
    <w:multiLevelType w:val="hybridMultilevel"/>
    <w:tmpl w:val="F726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BE19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F771FFB"/>
    <w:multiLevelType w:val="hybridMultilevel"/>
    <w:tmpl w:val="3912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3425"/>
    <w:multiLevelType w:val="multilevel"/>
    <w:tmpl w:val="04F698A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9" w15:restartNumberingAfterBreak="0">
    <w:nsid w:val="3B62646E"/>
    <w:multiLevelType w:val="multilevel"/>
    <w:tmpl w:val="0EBEE108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b w:val="0"/>
        <w:i w:val="0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b w:val="0"/>
        <w:i w:val="0"/>
        <w:color w:val="auto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DE82E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5D822DA"/>
    <w:multiLevelType w:val="hybridMultilevel"/>
    <w:tmpl w:val="E7ECF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3F0BB5"/>
    <w:multiLevelType w:val="hybridMultilevel"/>
    <w:tmpl w:val="A1082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A1EB3"/>
    <w:multiLevelType w:val="hybridMultilevel"/>
    <w:tmpl w:val="D926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90B11E5"/>
    <w:multiLevelType w:val="hybridMultilevel"/>
    <w:tmpl w:val="1B64261C"/>
    <w:lvl w:ilvl="0" w:tplc="83FE1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EF378D0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15"/>
  </w:num>
  <w:num w:numId="10">
    <w:abstractNumId w:val="1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 w:numId="15">
    <w:abstractNumId w:val="17"/>
  </w:num>
  <w:num w:numId="16">
    <w:abstractNumId w:val="8"/>
  </w:num>
  <w:num w:numId="17">
    <w:abstractNumId w:val="4"/>
  </w:num>
  <w:num w:numId="18">
    <w:abstractNumId w:val="16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A3"/>
    <w:rsid w:val="00000964"/>
    <w:rsid w:val="0000466B"/>
    <w:rsid w:val="00006E53"/>
    <w:rsid w:val="000074BB"/>
    <w:rsid w:val="00007661"/>
    <w:rsid w:val="00007B7B"/>
    <w:rsid w:val="0001503C"/>
    <w:rsid w:val="0001746E"/>
    <w:rsid w:val="00020E9D"/>
    <w:rsid w:val="0002180D"/>
    <w:rsid w:val="00022BBF"/>
    <w:rsid w:val="00022F30"/>
    <w:rsid w:val="00023EC0"/>
    <w:rsid w:val="000268EC"/>
    <w:rsid w:val="000270D9"/>
    <w:rsid w:val="000275CE"/>
    <w:rsid w:val="00027BF0"/>
    <w:rsid w:val="00027ECB"/>
    <w:rsid w:val="0003085B"/>
    <w:rsid w:val="00031B93"/>
    <w:rsid w:val="00031C24"/>
    <w:rsid w:val="00034D27"/>
    <w:rsid w:val="000431A8"/>
    <w:rsid w:val="00045F86"/>
    <w:rsid w:val="0005379F"/>
    <w:rsid w:val="00053BD4"/>
    <w:rsid w:val="0005453E"/>
    <w:rsid w:val="00060A0F"/>
    <w:rsid w:val="000640F0"/>
    <w:rsid w:val="00065B4C"/>
    <w:rsid w:val="00071B41"/>
    <w:rsid w:val="00074DC0"/>
    <w:rsid w:val="0008368F"/>
    <w:rsid w:val="000848BA"/>
    <w:rsid w:val="00086026"/>
    <w:rsid w:val="000900A9"/>
    <w:rsid w:val="0009068E"/>
    <w:rsid w:val="000A0E43"/>
    <w:rsid w:val="000A30C0"/>
    <w:rsid w:val="000A6B36"/>
    <w:rsid w:val="000B1677"/>
    <w:rsid w:val="000B2E10"/>
    <w:rsid w:val="000B4806"/>
    <w:rsid w:val="000B6C7B"/>
    <w:rsid w:val="000B7A52"/>
    <w:rsid w:val="000B7C3C"/>
    <w:rsid w:val="000C0077"/>
    <w:rsid w:val="000C0488"/>
    <w:rsid w:val="000C710F"/>
    <w:rsid w:val="000D03FC"/>
    <w:rsid w:val="000D1587"/>
    <w:rsid w:val="000D18CF"/>
    <w:rsid w:val="000E1707"/>
    <w:rsid w:val="000E2762"/>
    <w:rsid w:val="000E41B0"/>
    <w:rsid w:val="000E5CE5"/>
    <w:rsid w:val="000E7887"/>
    <w:rsid w:val="000F49E9"/>
    <w:rsid w:val="000F532F"/>
    <w:rsid w:val="000F5B7A"/>
    <w:rsid w:val="00100162"/>
    <w:rsid w:val="00103532"/>
    <w:rsid w:val="00104196"/>
    <w:rsid w:val="00107182"/>
    <w:rsid w:val="001100F9"/>
    <w:rsid w:val="00111B7F"/>
    <w:rsid w:val="00111C11"/>
    <w:rsid w:val="00113F5D"/>
    <w:rsid w:val="0011545D"/>
    <w:rsid w:val="00116364"/>
    <w:rsid w:val="0012088E"/>
    <w:rsid w:val="001229E7"/>
    <w:rsid w:val="00124BF5"/>
    <w:rsid w:val="0012676B"/>
    <w:rsid w:val="001268DB"/>
    <w:rsid w:val="001278C7"/>
    <w:rsid w:val="00132153"/>
    <w:rsid w:val="001339A8"/>
    <w:rsid w:val="0013540E"/>
    <w:rsid w:val="001378F0"/>
    <w:rsid w:val="001417E1"/>
    <w:rsid w:val="00143AE3"/>
    <w:rsid w:val="00143ED5"/>
    <w:rsid w:val="00147ED4"/>
    <w:rsid w:val="00156147"/>
    <w:rsid w:val="001563A8"/>
    <w:rsid w:val="00160988"/>
    <w:rsid w:val="00165530"/>
    <w:rsid w:val="00166249"/>
    <w:rsid w:val="00170EEE"/>
    <w:rsid w:val="00172E01"/>
    <w:rsid w:val="00176D18"/>
    <w:rsid w:val="00176EB9"/>
    <w:rsid w:val="00177BF7"/>
    <w:rsid w:val="0018390A"/>
    <w:rsid w:val="00184489"/>
    <w:rsid w:val="001848DD"/>
    <w:rsid w:val="001924CA"/>
    <w:rsid w:val="00194FFE"/>
    <w:rsid w:val="001974F8"/>
    <w:rsid w:val="00197D7D"/>
    <w:rsid w:val="001A5F45"/>
    <w:rsid w:val="001A64B3"/>
    <w:rsid w:val="001A7CBC"/>
    <w:rsid w:val="001C3108"/>
    <w:rsid w:val="001C4813"/>
    <w:rsid w:val="001C5E26"/>
    <w:rsid w:val="001D21A4"/>
    <w:rsid w:val="001D6660"/>
    <w:rsid w:val="001E2AC4"/>
    <w:rsid w:val="001E4F42"/>
    <w:rsid w:val="001E7CA6"/>
    <w:rsid w:val="001F073F"/>
    <w:rsid w:val="001F11C2"/>
    <w:rsid w:val="001F6553"/>
    <w:rsid w:val="001F6F87"/>
    <w:rsid w:val="001F74AD"/>
    <w:rsid w:val="001F7F68"/>
    <w:rsid w:val="00202DA6"/>
    <w:rsid w:val="00204AF1"/>
    <w:rsid w:val="00207803"/>
    <w:rsid w:val="002108F9"/>
    <w:rsid w:val="0021797C"/>
    <w:rsid w:val="00222BCA"/>
    <w:rsid w:val="00222EF4"/>
    <w:rsid w:val="002232AE"/>
    <w:rsid w:val="00225DB7"/>
    <w:rsid w:val="00225E25"/>
    <w:rsid w:val="00226207"/>
    <w:rsid w:val="00226B4B"/>
    <w:rsid w:val="00227187"/>
    <w:rsid w:val="0022797C"/>
    <w:rsid w:val="002309E3"/>
    <w:rsid w:val="00240091"/>
    <w:rsid w:val="002405F5"/>
    <w:rsid w:val="00243E43"/>
    <w:rsid w:val="0025413E"/>
    <w:rsid w:val="00255718"/>
    <w:rsid w:val="002577E7"/>
    <w:rsid w:val="0026071A"/>
    <w:rsid w:val="00261638"/>
    <w:rsid w:val="00261B87"/>
    <w:rsid w:val="00273FC7"/>
    <w:rsid w:val="00274D58"/>
    <w:rsid w:val="00275E9C"/>
    <w:rsid w:val="00281306"/>
    <w:rsid w:val="00281791"/>
    <w:rsid w:val="00285238"/>
    <w:rsid w:val="002868A3"/>
    <w:rsid w:val="00286F31"/>
    <w:rsid w:val="00290000"/>
    <w:rsid w:val="00292EB1"/>
    <w:rsid w:val="002A1B4A"/>
    <w:rsid w:val="002A3341"/>
    <w:rsid w:val="002A7028"/>
    <w:rsid w:val="002A7E50"/>
    <w:rsid w:val="002B150F"/>
    <w:rsid w:val="002B1B3B"/>
    <w:rsid w:val="002B29B7"/>
    <w:rsid w:val="002C4AEF"/>
    <w:rsid w:val="002C682C"/>
    <w:rsid w:val="002D04BD"/>
    <w:rsid w:val="002D0584"/>
    <w:rsid w:val="002D6258"/>
    <w:rsid w:val="002D745F"/>
    <w:rsid w:val="002D7493"/>
    <w:rsid w:val="002E4013"/>
    <w:rsid w:val="002E661E"/>
    <w:rsid w:val="002E793C"/>
    <w:rsid w:val="002F037A"/>
    <w:rsid w:val="002F0F67"/>
    <w:rsid w:val="002F1C2A"/>
    <w:rsid w:val="002F2B0B"/>
    <w:rsid w:val="002F3D2F"/>
    <w:rsid w:val="002F72F8"/>
    <w:rsid w:val="003065A6"/>
    <w:rsid w:val="00307DFB"/>
    <w:rsid w:val="00307F77"/>
    <w:rsid w:val="00310549"/>
    <w:rsid w:val="00313755"/>
    <w:rsid w:val="00314E9A"/>
    <w:rsid w:val="003168B8"/>
    <w:rsid w:val="003173EE"/>
    <w:rsid w:val="00321242"/>
    <w:rsid w:val="003270BF"/>
    <w:rsid w:val="0033117E"/>
    <w:rsid w:val="00332FCE"/>
    <w:rsid w:val="00342F93"/>
    <w:rsid w:val="00343B07"/>
    <w:rsid w:val="00344A06"/>
    <w:rsid w:val="003514AF"/>
    <w:rsid w:val="00353DCC"/>
    <w:rsid w:val="00354EEB"/>
    <w:rsid w:val="00357039"/>
    <w:rsid w:val="00361630"/>
    <w:rsid w:val="003616A0"/>
    <w:rsid w:val="00362BE7"/>
    <w:rsid w:val="00365EEE"/>
    <w:rsid w:val="00367F80"/>
    <w:rsid w:val="003776E5"/>
    <w:rsid w:val="003808B5"/>
    <w:rsid w:val="00381A03"/>
    <w:rsid w:val="00381F19"/>
    <w:rsid w:val="003829EE"/>
    <w:rsid w:val="0038427B"/>
    <w:rsid w:val="00386B59"/>
    <w:rsid w:val="00387BDD"/>
    <w:rsid w:val="00391DBF"/>
    <w:rsid w:val="00391EA3"/>
    <w:rsid w:val="003946EF"/>
    <w:rsid w:val="00395B1A"/>
    <w:rsid w:val="0039758E"/>
    <w:rsid w:val="003A12DE"/>
    <w:rsid w:val="003A2764"/>
    <w:rsid w:val="003A287E"/>
    <w:rsid w:val="003A4476"/>
    <w:rsid w:val="003A4D68"/>
    <w:rsid w:val="003B0417"/>
    <w:rsid w:val="003B1750"/>
    <w:rsid w:val="003B2C6C"/>
    <w:rsid w:val="003B57EC"/>
    <w:rsid w:val="003B7283"/>
    <w:rsid w:val="003C01DF"/>
    <w:rsid w:val="003C3D23"/>
    <w:rsid w:val="003C73D7"/>
    <w:rsid w:val="003D05CA"/>
    <w:rsid w:val="003D41EF"/>
    <w:rsid w:val="003D7058"/>
    <w:rsid w:val="003E1B8E"/>
    <w:rsid w:val="003E5FB2"/>
    <w:rsid w:val="003E7D70"/>
    <w:rsid w:val="003F365D"/>
    <w:rsid w:val="003F5292"/>
    <w:rsid w:val="0040491B"/>
    <w:rsid w:val="00405353"/>
    <w:rsid w:val="004116DB"/>
    <w:rsid w:val="0041173B"/>
    <w:rsid w:val="00412920"/>
    <w:rsid w:val="004160BA"/>
    <w:rsid w:val="00421623"/>
    <w:rsid w:val="00434A86"/>
    <w:rsid w:val="0044001D"/>
    <w:rsid w:val="00441CAD"/>
    <w:rsid w:val="0044253C"/>
    <w:rsid w:val="004444AD"/>
    <w:rsid w:val="0044481C"/>
    <w:rsid w:val="004457E2"/>
    <w:rsid w:val="00445FB9"/>
    <w:rsid w:val="00450257"/>
    <w:rsid w:val="00453E53"/>
    <w:rsid w:val="00454BF6"/>
    <w:rsid w:val="0045553B"/>
    <w:rsid w:val="00455C01"/>
    <w:rsid w:val="0045795F"/>
    <w:rsid w:val="00465F33"/>
    <w:rsid w:val="00466633"/>
    <w:rsid w:val="004667D2"/>
    <w:rsid w:val="00471A9F"/>
    <w:rsid w:val="00472CE7"/>
    <w:rsid w:val="004739B5"/>
    <w:rsid w:val="004754E0"/>
    <w:rsid w:val="00476D03"/>
    <w:rsid w:val="00476E0E"/>
    <w:rsid w:val="0048086F"/>
    <w:rsid w:val="00481CB7"/>
    <w:rsid w:val="00483DB5"/>
    <w:rsid w:val="00484B60"/>
    <w:rsid w:val="00484D56"/>
    <w:rsid w:val="00485BCE"/>
    <w:rsid w:val="004902EF"/>
    <w:rsid w:val="00494418"/>
    <w:rsid w:val="004964F7"/>
    <w:rsid w:val="004A3927"/>
    <w:rsid w:val="004A3C38"/>
    <w:rsid w:val="004A5F7A"/>
    <w:rsid w:val="004A7550"/>
    <w:rsid w:val="004A7A5F"/>
    <w:rsid w:val="004B3352"/>
    <w:rsid w:val="004B3EB7"/>
    <w:rsid w:val="004B6B09"/>
    <w:rsid w:val="004B7687"/>
    <w:rsid w:val="004C19D2"/>
    <w:rsid w:val="004C76C2"/>
    <w:rsid w:val="004D11C9"/>
    <w:rsid w:val="004D1B61"/>
    <w:rsid w:val="004D3705"/>
    <w:rsid w:val="004D3CAF"/>
    <w:rsid w:val="004E222A"/>
    <w:rsid w:val="004E44FC"/>
    <w:rsid w:val="004E6E55"/>
    <w:rsid w:val="004E7C91"/>
    <w:rsid w:val="004F3C2E"/>
    <w:rsid w:val="004F58C9"/>
    <w:rsid w:val="005011E3"/>
    <w:rsid w:val="00503415"/>
    <w:rsid w:val="00510A2E"/>
    <w:rsid w:val="00512375"/>
    <w:rsid w:val="00517A1B"/>
    <w:rsid w:val="005229A6"/>
    <w:rsid w:val="00525C74"/>
    <w:rsid w:val="00531DAD"/>
    <w:rsid w:val="00532F8A"/>
    <w:rsid w:val="00534740"/>
    <w:rsid w:val="00536724"/>
    <w:rsid w:val="005444EA"/>
    <w:rsid w:val="0054500A"/>
    <w:rsid w:val="0056000D"/>
    <w:rsid w:val="005638D5"/>
    <w:rsid w:val="00564BC9"/>
    <w:rsid w:val="005654D3"/>
    <w:rsid w:val="005663D4"/>
    <w:rsid w:val="00566F7F"/>
    <w:rsid w:val="0057020A"/>
    <w:rsid w:val="0057468F"/>
    <w:rsid w:val="00574E12"/>
    <w:rsid w:val="005800DF"/>
    <w:rsid w:val="00581991"/>
    <w:rsid w:val="0058704F"/>
    <w:rsid w:val="00594007"/>
    <w:rsid w:val="00595458"/>
    <w:rsid w:val="00596C90"/>
    <w:rsid w:val="00596F27"/>
    <w:rsid w:val="005A01E9"/>
    <w:rsid w:val="005A2431"/>
    <w:rsid w:val="005A35A8"/>
    <w:rsid w:val="005A62F3"/>
    <w:rsid w:val="005A64E9"/>
    <w:rsid w:val="005A687D"/>
    <w:rsid w:val="005B03F6"/>
    <w:rsid w:val="005B30A5"/>
    <w:rsid w:val="005B5DAF"/>
    <w:rsid w:val="005B7DE9"/>
    <w:rsid w:val="005C06C1"/>
    <w:rsid w:val="005C0810"/>
    <w:rsid w:val="005C102B"/>
    <w:rsid w:val="005C18A0"/>
    <w:rsid w:val="005C549B"/>
    <w:rsid w:val="005C5C93"/>
    <w:rsid w:val="005C5F24"/>
    <w:rsid w:val="005C5F56"/>
    <w:rsid w:val="005C77FD"/>
    <w:rsid w:val="005D0412"/>
    <w:rsid w:val="005D088F"/>
    <w:rsid w:val="005D0C0F"/>
    <w:rsid w:val="005D2C85"/>
    <w:rsid w:val="005D418B"/>
    <w:rsid w:val="005E1A17"/>
    <w:rsid w:val="005E5380"/>
    <w:rsid w:val="005E661B"/>
    <w:rsid w:val="005E7051"/>
    <w:rsid w:val="005E7106"/>
    <w:rsid w:val="005F1D25"/>
    <w:rsid w:val="005F66CD"/>
    <w:rsid w:val="005F78E4"/>
    <w:rsid w:val="00600F39"/>
    <w:rsid w:val="006047D5"/>
    <w:rsid w:val="0061166B"/>
    <w:rsid w:val="00612001"/>
    <w:rsid w:val="0061347A"/>
    <w:rsid w:val="00615DC8"/>
    <w:rsid w:val="00616183"/>
    <w:rsid w:val="00617422"/>
    <w:rsid w:val="00621794"/>
    <w:rsid w:val="00625A55"/>
    <w:rsid w:val="006274A4"/>
    <w:rsid w:val="00630F47"/>
    <w:rsid w:val="006328B0"/>
    <w:rsid w:val="00632B76"/>
    <w:rsid w:val="006365E2"/>
    <w:rsid w:val="00642B95"/>
    <w:rsid w:val="00645784"/>
    <w:rsid w:val="00650380"/>
    <w:rsid w:val="006508BC"/>
    <w:rsid w:val="00653BAD"/>
    <w:rsid w:val="006563E0"/>
    <w:rsid w:val="006578A6"/>
    <w:rsid w:val="00661175"/>
    <w:rsid w:val="00661468"/>
    <w:rsid w:val="00662794"/>
    <w:rsid w:val="00663372"/>
    <w:rsid w:val="0066364C"/>
    <w:rsid w:val="0066673B"/>
    <w:rsid w:val="00667E64"/>
    <w:rsid w:val="00671A4E"/>
    <w:rsid w:val="00672509"/>
    <w:rsid w:val="00674235"/>
    <w:rsid w:val="00677DB0"/>
    <w:rsid w:val="00682E00"/>
    <w:rsid w:val="006910CD"/>
    <w:rsid w:val="006929BC"/>
    <w:rsid w:val="00693F5F"/>
    <w:rsid w:val="0069476F"/>
    <w:rsid w:val="00695BB3"/>
    <w:rsid w:val="0069795F"/>
    <w:rsid w:val="006A2A33"/>
    <w:rsid w:val="006A4BB1"/>
    <w:rsid w:val="006A623D"/>
    <w:rsid w:val="006B0495"/>
    <w:rsid w:val="006B230B"/>
    <w:rsid w:val="006B2631"/>
    <w:rsid w:val="006B3785"/>
    <w:rsid w:val="006C0A84"/>
    <w:rsid w:val="006C1257"/>
    <w:rsid w:val="006C5AD6"/>
    <w:rsid w:val="006C6A64"/>
    <w:rsid w:val="006C6EF8"/>
    <w:rsid w:val="006C6FE0"/>
    <w:rsid w:val="006C768C"/>
    <w:rsid w:val="006D2632"/>
    <w:rsid w:val="006D6485"/>
    <w:rsid w:val="006E0FA5"/>
    <w:rsid w:val="006E17DC"/>
    <w:rsid w:val="006E4BDC"/>
    <w:rsid w:val="006E5395"/>
    <w:rsid w:val="006E6C65"/>
    <w:rsid w:val="006F3C94"/>
    <w:rsid w:val="006F50D8"/>
    <w:rsid w:val="006F5F90"/>
    <w:rsid w:val="006F64F8"/>
    <w:rsid w:val="006F7B70"/>
    <w:rsid w:val="006F7D84"/>
    <w:rsid w:val="00700CF0"/>
    <w:rsid w:val="00702495"/>
    <w:rsid w:val="00706EA9"/>
    <w:rsid w:val="00713B15"/>
    <w:rsid w:val="00715480"/>
    <w:rsid w:val="00716C70"/>
    <w:rsid w:val="00717A94"/>
    <w:rsid w:val="00720A8B"/>
    <w:rsid w:val="00721B5C"/>
    <w:rsid w:val="00722850"/>
    <w:rsid w:val="007235B5"/>
    <w:rsid w:val="00723B24"/>
    <w:rsid w:val="00724993"/>
    <w:rsid w:val="00724EEF"/>
    <w:rsid w:val="00727EFC"/>
    <w:rsid w:val="00730BB1"/>
    <w:rsid w:val="007321AA"/>
    <w:rsid w:val="00732483"/>
    <w:rsid w:val="00734615"/>
    <w:rsid w:val="00735613"/>
    <w:rsid w:val="0073589D"/>
    <w:rsid w:val="00737C9A"/>
    <w:rsid w:val="0075034C"/>
    <w:rsid w:val="007508B6"/>
    <w:rsid w:val="00751AF2"/>
    <w:rsid w:val="00754871"/>
    <w:rsid w:val="00755F9B"/>
    <w:rsid w:val="0075641F"/>
    <w:rsid w:val="007610CA"/>
    <w:rsid w:val="00761E14"/>
    <w:rsid w:val="00765955"/>
    <w:rsid w:val="00765C6A"/>
    <w:rsid w:val="00766E5C"/>
    <w:rsid w:val="007679F7"/>
    <w:rsid w:val="00772A00"/>
    <w:rsid w:val="00774FB6"/>
    <w:rsid w:val="0077519E"/>
    <w:rsid w:val="0077544A"/>
    <w:rsid w:val="00775E98"/>
    <w:rsid w:val="00777B2B"/>
    <w:rsid w:val="0078193E"/>
    <w:rsid w:val="00782001"/>
    <w:rsid w:val="007850E1"/>
    <w:rsid w:val="007860A1"/>
    <w:rsid w:val="007878F5"/>
    <w:rsid w:val="00791265"/>
    <w:rsid w:val="00793299"/>
    <w:rsid w:val="00796304"/>
    <w:rsid w:val="007A053D"/>
    <w:rsid w:val="007A32BD"/>
    <w:rsid w:val="007A4D09"/>
    <w:rsid w:val="007B13A5"/>
    <w:rsid w:val="007B17F4"/>
    <w:rsid w:val="007B1B3B"/>
    <w:rsid w:val="007B3604"/>
    <w:rsid w:val="007B4F34"/>
    <w:rsid w:val="007D09F9"/>
    <w:rsid w:val="007D1A48"/>
    <w:rsid w:val="007D2B51"/>
    <w:rsid w:val="007D2EDB"/>
    <w:rsid w:val="007D708B"/>
    <w:rsid w:val="007D7726"/>
    <w:rsid w:val="007D7755"/>
    <w:rsid w:val="007E0603"/>
    <w:rsid w:val="007E320D"/>
    <w:rsid w:val="007E38D5"/>
    <w:rsid w:val="007E6A24"/>
    <w:rsid w:val="007F2D18"/>
    <w:rsid w:val="007F3BE0"/>
    <w:rsid w:val="00800613"/>
    <w:rsid w:val="00801E2A"/>
    <w:rsid w:val="00802EA2"/>
    <w:rsid w:val="0080477E"/>
    <w:rsid w:val="00810284"/>
    <w:rsid w:val="008111EC"/>
    <w:rsid w:val="00812830"/>
    <w:rsid w:val="00813DD5"/>
    <w:rsid w:val="008147AD"/>
    <w:rsid w:val="008169D0"/>
    <w:rsid w:val="00816FA2"/>
    <w:rsid w:val="00817CEB"/>
    <w:rsid w:val="008217A2"/>
    <w:rsid w:val="0082195A"/>
    <w:rsid w:val="00822ACA"/>
    <w:rsid w:val="0082435A"/>
    <w:rsid w:val="00825E45"/>
    <w:rsid w:val="00826A42"/>
    <w:rsid w:val="00830D12"/>
    <w:rsid w:val="00831457"/>
    <w:rsid w:val="00831932"/>
    <w:rsid w:val="00832096"/>
    <w:rsid w:val="008346F5"/>
    <w:rsid w:val="00844A84"/>
    <w:rsid w:val="0084628E"/>
    <w:rsid w:val="0086144D"/>
    <w:rsid w:val="00864220"/>
    <w:rsid w:val="0086432C"/>
    <w:rsid w:val="008648E0"/>
    <w:rsid w:val="008806F7"/>
    <w:rsid w:val="00880E25"/>
    <w:rsid w:val="008832D7"/>
    <w:rsid w:val="00884E48"/>
    <w:rsid w:val="008870E2"/>
    <w:rsid w:val="00887A68"/>
    <w:rsid w:val="00893980"/>
    <w:rsid w:val="00896F75"/>
    <w:rsid w:val="0089700E"/>
    <w:rsid w:val="008A18CB"/>
    <w:rsid w:val="008A73C9"/>
    <w:rsid w:val="008B01B8"/>
    <w:rsid w:val="008B0D6B"/>
    <w:rsid w:val="008B11E9"/>
    <w:rsid w:val="008B2555"/>
    <w:rsid w:val="008B2F7C"/>
    <w:rsid w:val="008B5193"/>
    <w:rsid w:val="008C040E"/>
    <w:rsid w:val="008C3983"/>
    <w:rsid w:val="008D0404"/>
    <w:rsid w:val="008D49FD"/>
    <w:rsid w:val="008D5B82"/>
    <w:rsid w:val="008D6585"/>
    <w:rsid w:val="008F2C4D"/>
    <w:rsid w:val="008F2E4D"/>
    <w:rsid w:val="0090381B"/>
    <w:rsid w:val="009045A6"/>
    <w:rsid w:val="009056EF"/>
    <w:rsid w:val="00911175"/>
    <w:rsid w:val="009119AA"/>
    <w:rsid w:val="00911DFB"/>
    <w:rsid w:val="00912AD6"/>
    <w:rsid w:val="009133DA"/>
    <w:rsid w:val="009172EA"/>
    <w:rsid w:val="00924189"/>
    <w:rsid w:val="00931A77"/>
    <w:rsid w:val="00932272"/>
    <w:rsid w:val="00940FE2"/>
    <w:rsid w:val="00946122"/>
    <w:rsid w:val="00947562"/>
    <w:rsid w:val="00947BAA"/>
    <w:rsid w:val="0095222C"/>
    <w:rsid w:val="00953D8B"/>
    <w:rsid w:val="009551BC"/>
    <w:rsid w:val="00956934"/>
    <w:rsid w:val="00956C57"/>
    <w:rsid w:val="00960558"/>
    <w:rsid w:val="00965E9A"/>
    <w:rsid w:val="00966AA4"/>
    <w:rsid w:val="009727D9"/>
    <w:rsid w:val="00973BD2"/>
    <w:rsid w:val="00976224"/>
    <w:rsid w:val="00984104"/>
    <w:rsid w:val="009853EE"/>
    <w:rsid w:val="00985E94"/>
    <w:rsid w:val="009907EB"/>
    <w:rsid w:val="009940C9"/>
    <w:rsid w:val="0099514B"/>
    <w:rsid w:val="009978BF"/>
    <w:rsid w:val="009A0843"/>
    <w:rsid w:val="009A0CED"/>
    <w:rsid w:val="009A27DD"/>
    <w:rsid w:val="009A5575"/>
    <w:rsid w:val="009A7801"/>
    <w:rsid w:val="009B2B39"/>
    <w:rsid w:val="009B58DF"/>
    <w:rsid w:val="009C05E1"/>
    <w:rsid w:val="009C39BC"/>
    <w:rsid w:val="009C5A49"/>
    <w:rsid w:val="009C778F"/>
    <w:rsid w:val="009D4689"/>
    <w:rsid w:val="009D719B"/>
    <w:rsid w:val="009D7526"/>
    <w:rsid w:val="009E16C5"/>
    <w:rsid w:val="009E59C0"/>
    <w:rsid w:val="009F44BA"/>
    <w:rsid w:val="009F4CBB"/>
    <w:rsid w:val="009F6B53"/>
    <w:rsid w:val="00A00174"/>
    <w:rsid w:val="00A01CBE"/>
    <w:rsid w:val="00A0358D"/>
    <w:rsid w:val="00A047F9"/>
    <w:rsid w:val="00A04FF8"/>
    <w:rsid w:val="00A0510C"/>
    <w:rsid w:val="00A054CA"/>
    <w:rsid w:val="00A07A31"/>
    <w:rsid w:val="00A10CFF"/>
    <w:rsid w:val="00A12B8D"/>
    <w:rsid w:val="00A16B7C"/>
    <w:rsid w:val="00A200F3"/>
    <w:rsid w:val="00A22096"/>
    <w:rsid w:val="00A23DBF"/>
    <w:rsid w:val="00A30290"/>
    <w:rsid w:val="00A35232"/>
    <w:rsid w:val="00A362CB"/>
    <w:rsid w:val="00A37627"/>
    <w:rsid w:val="00A4101D"/>
    <w:rsid w:val="00A446DB"/>
    <w:rsid w:val="00A53062"/>
    <w:rsid w:val="00A544D6"/>
    <w:rsid w:val="00A5566E"/>
    <w:rsid w:val="00A57C02"/>
    <w:rsid w:val="00A64A8D"/>
    <w:rsid w:val="00A666F6"/>
    <w:rsid w:val="00A677AE"/>
    <w:rsid w:val="00A733F3"/>
    <w:rsid w:val="00A73F9A"/>
    <w:rsid w:val="00A742EF"/>
    <w:rsid w:val="00A81A0A"/>
    <w:rsid w:val="00A9000C"/>
    <w:rsid w:val="00A91DD2"/>
    <w:rsid w:val="00A92BF4"/>
    <w:rsid w:val="00A93AEA"/>
    <w:rsid w:val="00A9641F"/>
    <w:rsid w:val="00AA3353"/>
    <w:rsid w:val="00AA47E0"/>
    <w:rsid w:val="00AA52B0"/>
    <w:rsid w:val="00AA5A24"/>
    <w:rsid w:val="00AA7EED"/>
    <w:rsid w:val="00AB0F8F"/>
    <w:rsid w:val="00AB19ED"/>
    <w:rsid w:val="00AB1C0B"/>
    <w:rsid w:val="00AB3381"/>
    <w:rsid w:val="00AB36B0"/>
    <w:rsid w:val="00AB37A7"/>
    <w:rsid w:val="00AB60E8"/>
    <w:rsid w:val="00AC25BC"/>
    <w:rsid w:val="00AD2A6F"/>
    <w:rsid w:val="00AD2D97"/>
    <w:rsid w:val="00AD3841"/>
    <w:rsid w:val="00AD42A4"/>
    <w:rsid w:val="00AD56DA"/>
    <w:rsid w:val="00AD704F"/>
    <w:rsid w:val="00AE1EF6"/>
    <w:rsid w:val="00AE2DC9"/>
    <w:rsid w:val="00AE385C"/>
    <w:rsid w:val="00AE4915"/>
    <w:rsid w:val="00AE657D"/>
    <w:rsid w:val="00AE71A1"/>
    <w:rsid w:val="00AE7975"/>
    <w:rsid w:val="00AF14D1"/>
    <w:rsid w:val="00AF2EC5"/>
    <w:rsid w:val="00AF69ED"/>
    <w:rsid w:val="00AF79D7"/>
    <w:rsid w:val="00AF7B80"/>
    <w:rsid w:val="00B03F64"/>
    <w:rsid w:val="00B0746E"/>
    <w:rsid w:val="00B10379"/>
    <w:rsid w:val="00B10FD1"/>
    <w:rsid w:val="00B114BA"/>
    <w:rsid w:val="00B125BE"/>
    <w:rsid w:val="00B22E5B"/>
    <w:rsid w:val="00B23F7B"/>
    <w:rsid w:val="00B245FC"/>
    <w:rsid w:val="00B25B3D"/>
    <w:rsid w:val="00B25C10"/>
    <w:rsid w:val="00B27F69"/>
    <w:rsid w:val="00B3039B"/>
    <w:rsid w:val="00B31671"/>
    <w:rsid w:val="00B3295C"/>
    <w:rsid w:val="00B37587"/>
    <w:rsid w:val="00B452EC"/>
    <w:rsid w:val="00B47524"/>
    <w:rsid w:val="00B516A3"/>
    <w:rsid w:val="00B539D3"/>
    <w:rsid w:val="00B53AA7"/>
    <w:rsid w:val="00B54799"/>
    <w:rsid w:val="00B562BF"/>
    <w:rsid w:val="00B566D6"/>
    <w:rsid w:val="00B57EDA"/>
    <w:rsid w:val="00B61EBE"/>
    <w:rsid w:val="00B65BFC"/>
    <w:rsid w:val="00B66128"/>
    <w:rsid w:val="00B70E81"/>
    <w:rsid w:val="00B75C3A"/>
    <w:rsid w:val="00B76B73"/>
    <w:rsid w:val="00B82407"/>
    <w:rsid w:val="00B85FF1"/>
    <w:rsid w:val="00B8661A"/>
    <w:rsid w:val="00B86B2B"/>
    <w:rsid w:val="00B91E9F"/>
    <w:rsid w:val="00B97063"/>
    <w:rsid w:val="00B971BB"/>
    <w:rsid w:val="00BA25BF"/>
    <w:rsid w:val="00BA2DAC"/>
    <w:rsid w:val="00BA3B6B"/>
    <w:rsid w:val="00BA4228"/>
    <w:rsid w:val="00BA68DD"/>
    <w:rsid w:val="00BB2409"/>
    <w:rsid w:val="00BB3532"/>
    <w:rsid w:val="00BB773F"/>
    <w:rsid w:val="00BC0F78"/>
    <w:rsid w:val="00BC2087"/>
    <w:rsid w:val="00BC4241"/>
    <w:rsid w:val="00BC4A65"/>
    <w:rsid w:val="00BC5344"/>
    <w:rsid w:val="00BC5DDE"/>
    <w:rsid w:val="00BC6CD2"/>
    <w:rsid w:val="00BD1EDF"/>
    <w:rsid w:val="00BD36D1"/>
    <w:rsid w:val="00BD7A7C"/>
    <w:rsid w:val="00BE08B0"/>
    <w:rsid w:val="00BE2F6B"/>
    <w:rsid w:val="00BE5A0A"/>
    <w:rsid w:val="00BE69E9"/>
    <w:rsid w:val="00BE7002"/>
    <w:rsid w:val="00BE7ACE"/>
    <w:rsid w:val="00BF1895"/>
    <w:rsid w:val="00BF2494"/>
    <w:rsid w:val="00C03F23"/>
    <w:rsid w:val="00C05AED"/>
    <w:rsid w:val="00C07B00"/>
    <w:rsid w:val="00C15602"/>
    <w:rsid w:val="00C15B2C"/>
    <w:rsid w:val="00C22484"/>
    <w:rsid w:val="00C22C9B"/>
    <w:rsid w:val="00C22E96"/>
    <w:rsid w:val="00C26A7D"/>
    <w:rsid w:val="00C26DF0"/>
    <w:rsid w:val="00C31325"/>
    <w:rsid w:val="00C3214C"/>
    <w:rsid w:val="00C3239C"/>
    <w:rsid w:val="00C33B0C"/>
    <w:rsid w:val="00C40027"/>
    <w:rsid w:val="00C41F20"/>
    <w:rsid w:val="00C44DF9"/>
    <w:rsid w:val="00C44EF3"/>
    <w:rsid w:val="00C46DCE"/>
    <w:rsid w:val="00C479AC"/>
    <w:rsid w:val="00C50239"/>
    <w:rsid w:val="00C53973"/>
    <w:rsid w:val="00C55154"/>
    <w:rsid w:val="00C55647"/>
    <w:rsid w:val="00C56082"/>
    <w:rsid w:val="00C57036"/>
    <w:rsid w:val="00C60920"/>
    <w:rsid w:val="00C6534E"/>
    <w:rsid w:val="00C80CB4"/>
    <w:rsid w:val="00C85480"/>
    <w:rsid w:val="00C9156E"/>
    <w:rsid w:val="00C9187B"/>
    <w:rsid w:val="00C92DB8"/>
    <w:rsid w:val="00C93765"/>
    <w:rsid w:val="00C945E0"/>
    <w:rsid w:val="00C97CC2"/>
    <w:rsid w:val="00CA0056"/>
    <w:rsid w:val="00CA2CCD"/>
    <w:rsid w:val="00CA3C22"/>
    <w:rsid w:val="00CB30A1"/>
    <w:rsid w:val="00CC163F"/>
    <w:rsid w:val="00CC2A99"/>
    <w:rsid w:val="00CC422C"/>
    <w:rsid w:val="00CC446D"/>
    <w:rsid w:val="00CC4C42"/>
    <w:rsid w:val="00CC6D28"/>
    <w:rsid w:val="00CD0AF5"/>
    <w:rsid w:val="00CD1AA5"/>
    <w:rsid w:val="00CD3BB8"/>
    <w:rsid w:val="00CD3F8F"/>
    <w:rsid w:val="00CE498F"/>
    <w:rsid w:val="00CE4C19"/>
    <w:rsid w:val="00CF07F2"/>
    <w:rsid w:val="00CF1220"/>
    <w:rsid w:val="00CF4403"/>
    <w:rsid w:val="00CF49D2"/>
    <w:rsid w:val="00D01AD8"/>
    <w:rsid w:val="00D0291D"/>
    <w:rsid w:val="00D059A4"/>
    <w:rsid w:val="00D068A1"/>
    <w:rsid w:val="00D15C7C"/>
    <w:rsid w:val="00D17633"/>
    <w:rsid w:val="00D2489A"/>
    <w:rsid w:val="00D25BD7"/>
    <w:rsid w:val="00D277AD"/>
    <w:rsid w:val="00D30D91"/>
    <w:rsid w:val="00D370D3"/>
    <w:rsid w:val="00D373D6"/>
    <w:rsid w:val="00D3778A"/>
    <w:rsid w:val="00D44F34"/>
    <w:rsid w:val="00D468C2"/>
    <w:rsid w:val="00D46EDD"/>
    <w:rsid w:val="00D5243E"/>
    <w:rsid w:val="00D526A1"/>
    <w:rsid w:val="00D526EA"/>
    <w:rsid w:val="00D52BB4"/>
    <w:rsid w:val="00D535D1"/>
    <w:rsid w:val="00D54EE3"/>
    <w:rsid w:val="00D56CED"/>
    <w:rsid w:val="00D57E5B"/>
    <w:rsid w:val="00D62184"/>
    <w:rsid w:val="00D62B47"/>
    <w:rsid w:val="00D62DB3"/>
    <w:rsid w:val="00D62F4A"/>
    <w:rsid w:val="00D71352"/>
    <w:rsid w:val="00D811EC"/>
    <w:rsid w:val="00D82227"/>
    <w:rsid w:val="00D86887"/>
    <w:rsid w:val="00D8700B"/>
    <w:rsid w:val="00D91123"/>
    <w:rsid w:val="00D91B38"/>
    <w:rsid w:val="00D962A9"/>
    <w:rsid w:val="00DA103C"/>
    <w:rsid w:val="00DA178F"/>
    <w:rsid w:val="00DA3E42"/>
    <w:rsid w:val="00DA4897"/>
    <w:rsid w:val="00DB29D7"/>
    <w:rsid w:val="00DB2DD9"/>
    <w:rsid w:val="00DB4111"/>
    <w:rsid w:val="00DB42ED"/>
    <w:rsid w:val="00DB677B"/>
    <w:rsid w:val="00DC1569"/>
    <w:rsid w:val="00DC3BF5"/>
    <w:rsid w:val="00DD0463"/>
    <w:rsid w:val="00DD0BFC"/>
    <w:rsid w:val="00DD15A3"/>
    <w:rsid w:val="00DD2D68"/>
    <w:rsid w:val="00DD5B30"/>
    <w:rsid w:val="00DE163C"/>
    <w:rsid w:val="00DE3A8B"/>
    <w:rsid w:val="00DE517E"/>
    <w:rsid w:val="00DF47B8"/>
    <w:rsid w:val="00DF4BE3"/>
    <w:rsid w:val="00DF50B2"/>
    <w:rsid w:val="00DF78A2"/>
    <w:rsid w:val="00E04B7A"/>
    <w:rsid w:val="00E110B2"/>
    <w:rsid w:val="00E1348B"/>
    <w:rsid w:val="00E13BCC"/>
    <w:rsid w:val="00E1429A"/>
    <w:rsid w:val="00E145AD"/>
    <w:rsid w:val="00E16D70"/>
    <w:rsid w:val="00E17380"/>
    <w:rsid w:val="00E244D9"/>
    <w:rsid w:val="00E26724"/>
    <w:rsid w:val="00E34C92"/>
    <w:rsid w:val="00E41135"/>
    <w:rsid w:val="00E41C19"/>
    <w:rsid w:val="00E44900"/>
    <w:rsid w:val="00E450D0"/>
    <w:rsid w:val="00E465B5"/>
    <w:rsid w:val="00E46781"/>
    <w:rsid w:val="00E50390"/>
    <w:rsid w:val="00E52A22"/>
    <w:rsid w:val="00E55AA3"/>
    <w:rsid w:val="00E565A3"/>
    <w:rsid w:val="00E60440"/>
    <w:rsid w:val="00E61AD9"/>
    <w:rsid w:val="00E722B7"/>
    <w:rsid w:val="00E728A3"/>
    <w:rsid w:val="00E736A4"/>
    <w:rsid w:val="00E73F84"/>
    <w:rsid w:val="00E80442"/>
    <w:rsid w:val="00E80615"/>
    <w:rsid w:val="00E84512"/>
    <w:rsid w:val="00E84A98"/>
    <w:rsid w:val="00E84F3E"/>
    <w:rsid w:val="00E85E0D"/>
    <w:rsid w:val="00E926DA"/>
    <w:rsid w:val="00E93DE2"/>
    <w:rsid w:val="00E943B8"/>
    <w:rsid w:val="00E977F5"/>
    <w:rsid w:val="00EA0C1D"/>
    <w:rsid w:val="00EB11A6"/>
    <w:rsid w:val="00EB1553"/>
    <w:rsid w:val="00EB2F06"/>
    <w:rsid w:val="00EB35C0"/>
    <w:rsid w:val="00EB744E"/>
    <w:rsid w:val="00EC0A2F"/>
    <w:rsid w:val="00EC7ACD"/>
    <w:rsid w:val="00ED0080"/>
    <w:rsid w:val="00ED0AB7"/>
    <w:rsid w:val="00ED3473"/>
    <w:rsid w:val="00EE2FAB"/>
    <w:rsid w:val="00EE35F4"/>
    <w:rsid w:val="00EE3FC3"/>
    <w:rsid w:val="00EF03EB"/>
    <w:rsid w:val="00EF3D83"/>
    <w:rsid w:val="00EF7CA0"/>
    <w:rsid w:val="00F02766"/>
    <w:rsid w:val="00F02BE2"/>
    <w:rsid w:val="00F0347E"/>
    <w:rsid w:val="00F03A6F"/>
    <w:rsid w:val="00F05619"/>
    <w:rsid w:val="00F05E92"/>
    <w:rsid w:val="00F147C1"/>
    <w:rsid w:val="00F1567B"/>
    <w:rsid w:val="00F17106"/>
    <w:rsid w:val="00F17FB7"/>
    <w:rsid w:val="00F2379B"/>
    <w:rsid w:val="00F2483F"/>
    <w:rsid w:val="00F2551F"/>
    <w:rsid w:val="00F2597D"/>
    <w:rsid w:val="00F26477"/>
    <w:rsid w:val="00F3046D"/>
    <w:rsid w:val="00F31CC8"/>
    <w:rsid w:val="00F37175"/>
    <w:rsid w:val="00F4256E"/>
    <w:rsid w:val="00F45779"/>
    <w:rsid w:val="00F51EDD"/>
    <w:rsid w:val="00F528FD"/>
    <w:rsid w:val="00F530B3"/>
    <w:rsid w:val="00F53406"/>
    <w:rsid w:val="00F5448B"/>
    <w:rsid w:val="00F551DC"/>
    <w:rsid w:val="00F5563D"/>
    <w:rsid w:val="00F60BC9"/>
    <w:rsid w:val="00F6373C"/>
    <w:rsid w:val="00F677BD"/>
    <w:rsid w:val="00F706EE"/>
    <w:rsid w:val="00F73977"/>
    <w:rsid w:val="00F73F37"/>
    <w:rsid w:val="00F75267"/>
    <w:rsid w:val="00F753DE"/>
    <w:rsid w:val="00F772AD"/>
    <w:rsid w:val="00F85505"/>
    <w:rsid w:val="00F934B1"/>
    <w:rsid w:val="00F96D45"/>
    <w:rsid w:val="00FA1B59"/>
    <w:rsid w:val="00FA2D74"/>
    <w:rsid w:val="00FA2EC6"/>
    <w:rsid w:val="00FA5FAE"/>
    <w:rsid w:val="00FB2C36"/>
    <w:rsid w:val="00FB3816"/>
    <w:rsid w:val="00FB441F"/>
    <w:rsid w:val="00FB5C71"/>
    <w:rsid w:val="00FB60E1"/>
    <w:rsid w:val="00FB6F05"/>
    <w:rsid w:val="00FD184A"/>
    <w:rsid w:val="00FD1E9A"/>
    <w:rsid w:val="00FD2209"/>
    <w:rsid w:val="00FD2FA0"/>
    <w:rsid w:val="00FD35AA"/>
    <w:rsid w:val="00FE1023"/>
    <w:rsid w:val="00FE3728"/>
    <w:rsid w:val="00FE42A2"/>
    <w:rsid w:val="00FE4BDE"/>
    <w:rsid w:val="00FE5167"/>
    <w:rsid w:val="00FE5B03"/>
    <w:rsid w:val="00FF1995"/>
    <w:rsid w:val="00FF2F1F"/>
    <w:rsid w:val="00FF364F"/>
    <w:rsid w:val="00FF3B68"/>
    <w:rsid w:val="00FF4A1B"/>
    <w:rsid w:val="00FF508F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0189747"/>
  <w15:chartTrackingRefBased/>
  <w15:docId w15:val="{5FFECB7A-ABAA-41A8-86A4-8C57928F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44D9"/>
    <w:rPr>
      <w:rFonts w:ascii="HelveticaNeue LT 55 Roman" w:hAnsi="HelveticaNeue LT 55 Roman"/>
      <w:lang w:val="en-CA"/>
    </w:rPr>
  </w:style>
  <w:style w:type="paragraph" w:styleId="Heading1">
    <w:name w:val="heading 1"/>
    <w:basedOn w:val="Normal"/>
    <w:next w:val="Heading2"/>
    <w:link w:val="Heading1Char"/>
    <w:qFormat/>
    <w:rsid w:val="00E244D9"/>
    <w:pPr>
      <w:keepNext/>
      <w:numPr>
        <w:numId w:val="20"/>
      </w:numPr>
      <w:tabs>
        <w:tab w:val="clear" w:pos="1440"/>
        <w:tab w:val="num" w:pos="720"/>
      </w:tabs>
      <w:spacing w:before="48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Heading3"/>
    <w:link w:val="Heading2Char"/>
    <w:qFormat/>
    <w:rsid w:val="00E244D9"/>
    <w:pPr>
      <w:keepNext/>
      <w:numPr>
        <w:ilvl w:val="1"/>
        <w:numId w:val="20"/>
      </w:numPr>
      <w:tabs>
        <w:tab w:val="clear" w:pos="1440"/>
        <w:tab w:val="num" w:pos="720"/>
      </w:tabs>
      <w:spacing w:before="240"/>
      <w:ind w:left="720" w:hanging="72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E244D9"/>
    <w:pPr>
      <w:numPr>
        <w:ilvl w:val="2"/>
        <w:numId w:val="20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E244D9"/>
    <w:pPr>
      <w:numPr>
        <w:ilvl w:val="3"/>
        <w:numId w:val="20"/>
      </w:num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E244D9"/>
    <w:pPr>
      <w:numPr>
        <w:ilvl w:val="4"/>
        <w:numId w:val="20"/>
      </w:num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E244D9"/>
    <w:pPr>
      <w:numPr>
        <w:ilvl w:val="5"/>
        <w:numId w:val="20"/>
      </w:num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E244D9"/>
    <w:pPr>
      <w:numPr>
        <w:ilvl w:val="6"/>
        <w:numId w:val="20"/>
      </w:num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E244D9"/>
    <w:pPr>
      <w:numPr>
        <w:ilvl w:val="7"/>
        <w:numId w:val="20"/>
      </w:num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E244D9"/>
    <w:pPr>
      <w:numPr>
        <w:ilvl w:val="8"/>
        <w:numId w:val="20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ListBullet"/>
    <w:rsid w:val="00B516A3"/>
    <w:pPr>
      <w:numPr>
        <w:numId w:val="0"/>
      </w:numPr>
    </w:pPr>
  </w:style>
  <w:style w:type="paragraph" w:styleId="ListBullet">
    <w:name w:val="List Bullet"/>
    <w:basedOn w:val="Normal"/>
    <w:rsid w:val="00B516A3"/>
    <w:pPr>
      <w:numPr>
        <w:numId w:val="2"/>
      </w:numPr>
    </w:pPr>
  </w:style>
  <w:style w:type="paragraph" w:styleId="PlainText">
    <w:name w:val="Plain Text"/>
    <w:basedOn w:val="Normal"/>
    <w:rsid w:val="007172C5"/>
    <w:rPr>
      <w:rFonts w:ascii="Courier New" w:hAnsi="Courier New" w:cs="Courier New"/>
    </w:rPr>
  </w:style>
  <w:style w:type="paragraph" w:styleId="Header">
    <w:name w:val="header"/>
    <w:aliases w:val="HEADER"/>
    <w:basedOn w:val="Normal"/>
    <w:link w:val="HeaderChar"/>
    <w:rsid w:val="00E244D9"/>
    <w:pPr>
      <w:tabs>
        <w:tab w:val="right" w:pos="9360"/>
      </w:tabs>
    </w:pPr>
  </w:style>
  <w:style w:type="paragraph" w:styleId="Footer">
    <w:name w:val="footer"/>
    <w:basedOn w:val="Normal"/>
    <w:rsid w:val="00E244D9"/>
    <w:pPr>
      <w:tabs>
        <w:tab w:val="left" w:pos="4680"/>
        <w:tab w:val="right" w:pos="9360"/>
      </w:tabs>
    </w:pPr>
  </w:style>
  <w:style w:type="character" w:styleId="PageNumber">
    <w:name w:val="page number"/>
    <w:basedOn w:val="DefaultParagraphFont"/>
    <w:rsid w:val="00973BD2"/>
  </w:style>
  <w:style w:type="paragraph" w:styleId="BalloonText">
    <w:name w:val="Balloon Text"/>
    <w:basedOn w:val="Normal"/>
    <w:link w:val="BalloonTextChar"/>
    <w:rsid w:val="00E24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4D9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rsid w:val="00E244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244D9"/>
  </w:style>
  <w:style w:type="character" w:customStyle="1" w:styleId="CommentTextChar">
    <w:name w:val="Comment Text Char"/>
    <w:basedOn w:val="DefaultParagraphFont"/>
    <w:link w:val="CommentText"/>
    <w:rsid w:val="004964F7"/>
    <w:rPr>
      <w:rFonts w:ascii="HelveticaNeue LT 55 Roman" w:hAnsi="HelveticaNeue LT 55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E24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64F7"/>
    <w:rPr>
      <w:rFonts w:ascii="HelveticaNeue LT 55 Roman" w:hAnsi="HelveticaNeue LT 55 Roman"/>
      <w:b/>
      <w:bCs/>
      <w:lang w:val="en-CA"/>
    </w:rPr>
  </w:style>
  <w:style w:type="character" w:styleId="Hyperlink">
    <w:name w:val="Hyperlink"/>
    <w:basedOn w:val="DefaultParagraphFont"/>
    <w:rsid w:val="00E244D9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964F7"/>
    <w:rPr>
      <w:rFonts w:ascii="HelveticaNeue LT 55 Roman" w:hAnsi="HelveticaNeue LT 55 Roman"/>
      <w:b/>
      <w:lang w:val="en-CA"/>
    </w:rPr>
  </w:style>
  <w:style w:type="table" w:styleId="TableGrid">
    <w:name w:val="Table Grid"/>
    <w:basedOn w:val="TableNormal"/>
    <w:uiPriority w:val="59"/>
    <w:rsid w:val="00E2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ootnoteText">
    <w:name w:val="footnote text"/>
    <w:basedOn w:val="Normal"/>
    <w:link w:val="FootnoteTextChar"/>
    <w:uiPriority w:val="99"/>
    <w:unhideWhenUsed/>
    <w:rsid w:val="004964F7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64F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rsid w:val="00E244D9"/>
  </w:style>
  <w:style w:type="paragraph" w:styleId="ListParagraph">
    <w:name w:val="List Paragraph"/>
    <w:basedOn w:val="Normal"/>
    <w:uiPriority w:val="34"/>
    <w:qFormat/>
    <w:rsid w:val="00C41F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41F2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paragraph" w:customStyle="1" w:styleId="P1">
    <w:name w:val="P1"/>
    <w:basedOn w:val="Normal"/>
    <w:rsid w:val="000E2762"/>
    <w:pPr>
      <w:widowControl w:val="0"/>
      <w:tabs>
        <w:tab w:val="left" w:pos="1134"/>
      </w:tabs>
      <w:spacing w:after="60"/>
      <w:ind w:left="1134" w:hanging="567"/>
      <w:jc w:val="both"/>
    </w:pPr>
    <w:rPr>
      <w:snapToGrid w:val="0"/>
    </w:rPr>
  </w:style>
  <w:style w:type="paragraph" w:styleId="NormalWeb">
    <w:name w:val="Normal (Web)"/>
    <w:basedOn w:val="Normal"/>
    <w:uiPriority w:val="99"/>
    <w:unhideWhenUsed/>
    <w:rsid w:val="000E2762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rsid w:val="0041292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244D9"/>
    <w:rPr>
      <w:rFonts w:ascii="HelveticaNeue LT 55 Roman" w:hAnsi="HelveticaNeue LT 55 Roman"/>
      <w:b/>
      <w:lang w:val="en-CA"/>
    </w:rPr>
  </w:style>
  <w:style w:type="character" w:customStyle="1" w:styleId="Heading3Char">
    <w:name w:val="Heading 3 Char"/>
    <w:basedOn w:val="DefaultParagraphFont"/>
    <w:link w:val="Heading3"/>
    <w:rsid w:val="00E244D9"/>
    <w:rPr>
      <w:rFonts w:ascii="HelveticaNeue LT 55 Roman" w:hAnsi="HelveticaNeue LT 55 Roman"/>
      <w:lang w:val="en-CA"/>
    </w:rPr>
  </w:style>
  <w:style w:type="character" w:customStyle="1" w:styleId="Heading4Char">
    <w:name w:val="Heading 4 Char"/>
    <w:basedOn w:val="DefaultParagraphFont"/>
    <w:link w:val="Heading4"/>
    <w:rsid w:val="00E244D9"/>
    <w:rPr>
      <w:rFonts w:ascii="HelveticaNeue LT 55 Roman" w:hAnsi="HelveticaNeue LT 55 Roman"/>
      <w:lang w:val="en-CA"/>
    </w:rPr>
  </w:style>
  <w:style w:type="character" w:customStyle="1" w:styleId="Heading5Char">
    <w:name w:val="Heading 5 Char"/>
    <w:basedOn w:val="DefaultParagraphFont"/>
    <w:link w:val="Heading5"/>
    <w:rsid w:val="00454BF6"/>
    <w:rPr>
      <w:rFonts w:ascii="HelveticaNeue LT 55 Roman" w:hAnsi="HelveticaNeue LT 55 Roman"/>
      <w:lang w:val="en-CA"/>
    </w:rPr>
  </w:style>
  <w:style w:type="character" w:customStyle="1" w:styleId="Heading6Char">
    <w:name w:val="Heading 6 Char"/>
    <w:basedOn w:val="DefaultParagraphFont"/>
    <w:link w:val="Heading6"/>
    <w:rsid w:val="00454BF6"/>
    <w:rPr>
      <w:rFonts w:ascii="HelveticaNeue LT 55 Roman" w:hAnsi="HelveticaNeue LT 55 Roman"/>
      <w:lang w:val="en-CA"/>
    </w:rPr>
  </w:style>
  <w:style w:type="character" w:customStyle="1" w:styleId="Heading7Char">
    <w:name w:val="Heading 7 Char"/>
    <w:basedOn w:val="DefaultParagraphFont"/>
    <w:link w:val="Heading7"/>
    <w:rsid w:val="00454BF6"/>
    <w:rPr>
      <w:rFonts w:ascii="HelveticaNeue LT 55 Roman" w:hAnsi="HelveticaNeue LT 55 Roman"/>
      <w:lang w:val="en-CA"/>
    </w:rPr>
  </w:style>
  <w:style w:type="character" w:customStyle="1" w:styleId="Heading8Char">
    <w:name w:val="Heading 8 Char"/>
    <w:basedOn w:val="DefaultParagraphFont"/>
    <w:link w:val="Heading8"/>
    <w:rsid w:val="00454BF6"/>
    <w:rPr>
      <w:rFonts w:ascii="HelveticaNeue LT 55 Roman" w:hAnsi="HelveticaNeue LT 55 Roman"/>
      <w:lang w:val="en-CA"/>
    </w:rPr>
  </w:style>
  <w:style w:type="character" w:customStyle="1" w:styleId="Heading9Char">
    <w:name w:val="Heading 9 Char"/>
    <w:basedOn w:val="DefaultParagraphFont"/>
    <w:link w:val="Heading9"/>
    <w:rsid w:val="00454BF6"/>
    <w:rPr>
      <w:rFonts w:ascii="HelveticaNeue LT 55 Roman" w:hAnsi="HelveticaNeue LT 55 Roman"/>
      <w:lang w:val="en-CA"/>
    </w:rPr>
  </w:style>
  <w:style w:type="paragraph" w:customStyle="1" w:styleId="SpecNote">
    <w:name w:val="SpecNote"/>
    <w:basedOn w:val="Normal"/>
    <w:link w:val="SpecNoteChar"/>
    <w:rsid w:val="00E244D9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character" w:customStyle="1" w:styleId="SecRefName">
    <w:name w:val="SecRefName"/>
    <w:rsid w:val="00E244D9"/>
  </w:style>
  <w:style w:type="paragraph" w:customStyle="1" w:styleId="OR">
    <w:name w:val="[OR]"/>
    <w:basedOn w:val="Normal"/>
    <w:rsid w:val="00E244D9"/>
    <w:pPr>
      <w:keepNext/>
      <w:jc w:val="center"/>
    </w:pPr>
    <w:rPr>
      <w:rFonts w:ascii="Arial" w:hAnsi="Arial"/>
      <w:color w:val="FF0000"/>
    </w:rPr>
  </w:style>
  <w:style w:type="paragraph" w:customStyle="1" w:styleId="AuthorNote">
    <w:name w:val="AuthorNote"/>
    <w:basedOn w:val="SpecNote"/>
    <w:rsid w:val="00E244D9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rsid w:val="00E244D9"/>
    <w:pPr>
      <w:spacing w:before="600"/>
      <w:jc w:val="center"/>
    </w:pPr>
    <w:rPr>
      <w:b/>
    </w:rPr>
  </w:style>
  <w:style w:type="paragraph" w:customStyle="1" w:styleId="CSITitle">
    <w:name w:val="CSITitle"/>
    <w:basedOn w:val="Normal"/>
    <w:rsid w:val="00E244D9"/>
    <w:pPr>
      <w:spacing w:line="480" w:lineRule="auto"/>
      <w:jc w:val="center"/>
    </w:pPr>
    <w:rPr>
      <w:b/>
    </w:rPr>
  </w:style>
  <w:style w:type="paragraph" w:customStyle="1" w:styleId="SpecNoteEnv">
    <w:name w:val="SpecNoteEnv"/>
    <w:basedOn w:val="SpecNote"/>
    <w:rsid w:val="00E244D9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numbering" w:styleId="ArticleSection">
    <w:name w:val="Outline List 3"/>
    <w:basedOn w:val="NoList"/>
    <w:rsid w:val="00E244D9"/>
  </w:style>
  <w:style w:type="character" w:customStyle="1" w:styleId="SI">
    <w:name w:val="SI"/>
    <w:rsid w:val="00E244D9"/>
    <w:rPr>
      <w:color w:val="auto"/>
    </w:rPr>
  </w:style>
  <w:style w:type="character" w:customStyle="1" w:styleId="IP">
    <w:name w:val="IP"/>
    <w:rsid w:val="00E244D9"/>
    <w:rPr>
      <w:color w:val="auto"/>
    </w:rPr>
  </w:style>
  <w:style w:type="paragraph" w:customStyle="1" w:styleId="SectionNote">
    <w:name w:val="SectionNote"/>
    <w:basedOn w:val="SpecNote"/>
    <w:rsid w:val="00E244D9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E244D9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CSC1">
    <w:name w:val="CSC[1]"/>
    <w:basedOn w:val="Heading1"/>
    <w:rsid w:val="00E244D9"/>
  </w:style>
  <w:style w:type="paragraph" w:customStyle="1" w:styleId="CSC2">
    <w:name w:val="CSC[2]"/>
    <w:basedOn w:val="Heading2"/>
    <w:rsid w:val="00E244D9"/>
    <w:pPr>
      <w:keepLines/>
    </w:pPr>
  </w:style>
  <w:style w:type="paragraph" w:customStyle="1" w:styleId="CSC3">
    <w:name w:val="CSC[3]"/>
    <w:basedOn w:val="Heading3"/>
    <w:rsid w:val="00E244D9"/>
    <w:pPr>
      <w:keepLines/>
    </w:pPr>
  </w:style>
  <w:style w:type="paragraph" w:customStyle="1" w:styleId="CSC4">
    <w:name w:val="CSC[4]"/>
    <w:basedOn w:val="Heading4"/>
    <w:rsid w:val="00E244D9"/>
  </w:style>
  <w:style w:type="paragraph" w:customStyle="1" w:styleId="CSC5">
    <w:name w:val="CSC[5]"/>
    <w:basedOn w:val="Heading5"/>
    <w:qFormat/>
    <w:rsid w:val="00E244D9"/>
  </w:style>
  <w:style w:type="paragraph" w:customStyle="1" w:styleId="CSC6">
    <w:name w:val="CSC[6]"/>
    <w:basedOn w:val="Heading6"/>
    <w:qFormat/>
    <w:rsid w:val="00E244D9"/>
  </w:style>
  <w:style w:type="paragraph" w:customStyle="1" w:styleId="CSC7">
    <w:name w:val="CSC[7]"/>
    <w:basedOn w:val="Heading7"/>
    <w:rsid w:val="00E244D9"/>
  </w:style>
  <w:style w:type="paragraph" w:customStyle="1" w:styleId="CSC8">
    <w:name w:val="CSC[8]"/>
    <w:basedOn w:val="Heading8"/>
    <w:rsid w:val="00E244D9"/>
  </w:style>
  <w:style w:type="character" w:customStyle="1" w:styleId="HeaderChar">
    <w:name w:val="Header Char"/>
    <w:aliases w:val="HEADER Char"/>
    <w:basedOn w:val="DefaultParagraphFont"/>
    <w:link w:val="Header"/>
    <w:rsid w:val="00E244D9"/>
    <w:rPr>
      <w:rFonts w:ascii="HelveticaNeue LT 55 Roman" w:hAnsi="HelveticaNeue LT 55 Roman"/>
      <w:lang w:val="en-CA"/>
    </w:rPr>
  </w:style>
  <w:style w:type="paragraph" w:customStyle="1" w:styleId="Notes">
    <w:name w:val="Notes"/>
    <w:basedOn w:val="SpecNote"/>
    <w:link w:val="NotesChar"/>
    <w:qFormat/>
    <w:rsid w:val="00E244D9"/>
  </w:style>
  <w:style w:type="character" w:customStyle="1" w:styleId="SpecNoteChar">
    <w:name w:val="SpecNote Char"/>
    <w:basedOn w:val="DefaultParagraphFont"/>
    <w:link w:val="SpecNote"/>
    <w:rsid w:val="00E244D9"/>
    <w:rPr>
      <w:rFonts w:ascii="HelveticaNeue LT 55 Roman" w:hAnsi="HelveticaNeue LT 55 Roman"/>
      <w:i/>
      <w:vanish/>
      <w:color w:val="0080FF"/>
      <w:szCs w:val="22"/>
      <w:lang w:val="en-CA"/>
    </w:rPr>
  </w:style>
  <w:style w:type="character" w:customStyle="1" w:styleId="NotesChar">
    <w:name w:val="Notes Char"/>
    <w:basedOn w:val="SpecNoteChar"/>
    <w:link w:val="Notes"/>
    <w:rsid w:val="00E244D9"/>
    <w:rPr>
      <w:rFonts w:ascii="HelveticaNeue LT 55 Roman" w:hAnsi="HelveticaNeue LT 55 Roman"/>
      <w:i/>
      <w:vanish/>
      <w:color w:val="0080FF"/>
      <w:szCs w:val="22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kmanagement.ok@ubc.ca" TargetMode="External"/><Relationship Id="rId13" Type="http://schemas.openxmlformats.org/officeDocument/2006/relationships/hyperlink" Target="http://www.hr.ubc.ca/wellbeing-benefits/workplace-health/ergonomics/office-ergonomics/office-ergo-rep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skmanagement.ok@ubc.ca" TargetMode="External"/><Relationship Id="rId12" Type="http://schemas.openxmlformats.org/officeDocument/2006/relationships/hyperlink" Target="http://www.hr.ubc.ca/wellbeing-benefits/workplace-health/ergonomics/training-workshop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.ubc.ca/wellbeing-benefits/files/HR-Training-Room-Chair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hr.ubc.ca/wellbeing-benefits/files/UBC-Guidelines-for-Purchasing-an-Office-Chai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ubc.ca/sites/default/files/2020-09/Height%20Adjustable%20Desks%20Purchasing%20Guidelines%201_2.pdf" TargetMode="External"/><Relationship Id="rId14" Type="http://schemas.openxmlformats.org/officeDocument/2006/relationships/hyperlink" Target="mailto:riskmanagement.ok@ubc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%20Sawatzky\Dropbox\UBC%20Division%2001\2019%20Modified\U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UBC Template.dotx</Template>
  <TotalTime>5</TotalTime>
  <Pages>4</Pages>
  <Words>1265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ï»¿UBC Technical Guidelines Rev</vt:lpstr>
    </vt:vector>
  </TitlesOfParts>
  <Company>UBC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ï»¿UBC Technical Guidelines Rev</dc:title>
  <dc:subject/>
  <dc:creator>ELLEN GRANDE</dc:creator>
  <cp:keywords/>
  <cp:lastModifiedBy>Ng, Jenny</cp:lastModifiedBy>
  <cp:revision>8</cp:revision>
  <cp:lastPrinted>2016-05-04T15:59:00Z</cp:lastPrinted>
  <dcterms:created xsi:type="dcterms:W3CDTF">2020-07-22T21:46:00Z</dcterms:created>
  <dcterms:modified xsi:type="dcterms:W3CDTF">2023-10-16T20:17:00Z</dcterms:modified>
</cp:coreProperties>
</file>